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CE05" w14:textId="77777777" w:rsidR="001D05D4" w:rsidRDefault="001D05D4" w:rsidP="001D05D4">
      <w:pPr>
        <w:spacing w:after="210" w:line="210" w:lineRule="atLeast"/>
        <w:jc w:val="center"/>
        <w:rPr>
          <w:rFonts w:ascii="Verdana" w:eastAsia="Times New Roman" w:hAnsi="Verdana"/>
          <w:b/>
          <w:bCs/>
          <w:sz w:val="36"/>
          <w:szCs w:val="36"/>
        </w:rPr>
      </w:pPr>
      <w:r w:rsidRPr="49B376B0">
        <w:rPr>
          <w:rFonts w:ascii="Verdana" w:eastAsia="Times New Roman" w:hAnsi="Verdana"/>
          <w:b/>
          <w:bCs/>
          <w:sz w:val="36"/>
          <w:szCs w:val="36"/>
        </w:rPr>
        <w:t xml:space="preserve">ENI SUPPPLY CHAIN AWARDS 2026 </w:t>
      </w:r>
    </w:p>
    <w:p w14:paraId="56175B33" w14:textId="77777777" w:rsidR="001D05D4" w:rsidRDefault="001D05D4" w:rsidP="001D05D4">
      <w:pPr>
        <w:spacing w:after="210" w:line="210" w:lineRule="atLeast"/>
        <w:jc w:val="center"/>
        <w:rPr>
          <w:rFonts w:ascii="Verdana" w:eastAsia="Times New Roman" w:hAnsi="Verdana"/>
          <w:b/>
          <w:bCs/>
          <w:sz w:val="20"/>
        </w:rPr>
      </w:pPr>
      <w:r w:rsidRPr="49B376B0">
        <w:rPr>
          <w:rFonts w:ascii="Verdana" w:eastAsia="Times New Roman" w:hAnsi="Verdana"/>
          <w:b/>
          <w:bCs/>
          <w:sz w:val="20"/>
        </w:rPr>
        <w:t>REGOLAMENTO E MODALITA’ DI PARTECIPAZIONE</w:t>
      </w:r>
    </w:p>
    <w:p w14:paraId="59129502" w14:textId="77777777" w:rsidR="001D05D4" w:rsidRPr="004953B3" w:rsidRDefault="001D05D4" w:rsidP="004953B3">
      <w:pPr>
        <w:jc w:val="center"/>
        <w:rPr>
          <w:rFonts w:ascii="Verdana" w:hAnsi="Verdana"/>
          <w:b/>
          <w:bCs/>
          <w:color w:val="F79646"/>
          <w:sz w:val="36"/>
          <w:szCs w:val="36"/>
        </w:rPr>
      </w:pPr>
    </w:p>
    <w:p w14:paraId="38EB53A1" w14:textId="77777777" w:rsidR="001D05D4" w:rsidRDefault="001D05D4" w:rsidP="004953B3">
      <w:pPr>
        <w:jc w:val="center"/>
        <w:rPr>
          <w:rFonts w:ascii="Verdana" w:hAnsi="Verdana"/>
          <w:b/>
          <w:bCs/>
          <w:color w:val="F79646"/>
          <w:sz w:val="36"/>
          <w:szCs w:val="36"/>
        </w:rPr>
      </w:pPr>
      <w:r w:rsidRPr="004953B3">
        <w:rPr>
          <w:rFonts w:ascii="Verdana" w:hAnsi="Verdana"/>
          <w:b/>
          <w:bCs/>
          <w:color w:val="F79646"/>
          <w:sz w:val="36"/>
          <w:szCs w:val="36"/>
        </w:rPr>
        <w:t>OBIETTIVI E CATEGORIE</w:t>
      </w:r>
    </w:p>
    <w:p w14:paraId="4134ED6A" w14:textId="77777777" w:rsidR="004953B3" w:rsidRPr="004953B3" w:rsidRDefault="004953B3" w:rsidP="004953B3">
      <w:pPr>
        <w:jc w:val="center"/>
        <w:rPr>
          <w:rFonts w:ascii="Verdana" w:hAnsi="Verdana"/>
          <w:b/>
          <w:bCs/>
          <w:color w:val="F79646"/>
          <w:sz w:val="36"/>
          <w:szCs w:val="36"/>
        </w:rPr>
      </w:pPr>
    </w:p>
    <w:p w14:paraId="36F42287" w14:textId="77777777" w:rsidR="001D05D4" w:rsidRPr="004E2B07"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 xml:space="preserve">Il </w:t>
      </w:r>
      <w:r w:rsidRPr="49B376B0">
        <w:rPr>
          <w:rFonts w:ascii="Verdana" w:eastAsia="Times New Roman" w:hAnsi="Verdana"/>
          <w:b/>
          <w:bCs/>
          <w:sz w:val="20"/>
        </w:rPr>
        <w:t>Supply Chain Awards</w:t>
      </w:r>
      <w:r w:rsidRPr="49B376B0">
        <w:rPr>
          <w:rFonts w:ascii="Verdana" w:eastAsia="Times New Roman" w:hAnsi="Verdana"/>
          <w:sz w:val="20"/>
        </w:rPr>
        <w:t xml:space="preserve"> è l’iniziativa dedicata alle società detentrici di contratti di servizi, lavori o fornitura con il gruppo Eni che si sono distinti per eccellenza operativa, capacità di innovazione e responsabilità nello svolgimento delle proprie attività.</w:t>
      </w:r>
    </w:p>
    <w:p w14:paraId="4EDD631E" w14:textId="77777777" w:rsidR="001D05D4" w:rsidRPr="004E2B07"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 xml:space="preserve">L’evento nasce con l’obiettivo di valorizzare le migliori pratiche lungo l’intera </w:t>
      </w:r>
      <w:r>
        <w:rPr>
          <w:rFonts w:ascii="Verdana" w:eastAsia="Times New Roman" w:hAnsi="Verdana"/>
          <w:sz w:val="20"/>
        </w:rPr>
        <w:t>catena del valore</w:t>
      </w:r>
      <w:r w:rsidRPr="49B376B0">
        <w:rPr>
          <w:rFonts w:ascii="Verdana" w:eastAsia="Times New Roman" w:hAnsi="Verdana"/>
          <w:sz w:val="20"/>
        </w:rPr>
        <w:t xml:space="preserve"> condividendole lungo la filiera come fonte di ispirazione concreta per promuovere in tutte le realtà una cultura dello sviluppo e del miglioramento continuo. Una cultura che parte da principi chiave per un posizionamento competitivo e un rapporto di business duraturo con il gruppo Eni quali la sicurezza, l’eticità, l’innovazione, la responsabilità e l’efficienza operativa, tutti valori tra di loro fortemente connessi e dipendenti.</w:t>
      </w:r>
    </w:p>
    <w:p w14:paraId="1E305A14" w14:textId="77777777" w:rsidR="001D05D4" w:rsidRDefault="001D05D4" w:rsidP="001D05D4">
      <w:pPr>
        <w:spacing w:after="210" w:line="210" w:lineRule="atLeast"/>
        <w:jc w:val="both"/>
        <w:rPr>
          <w:rFonts w:ascii="Verdana" w:eastAsia="Times New Roman" w:hAnsi="Verdana"/>
          <w:iCs/>
          <w:sz w:val="20"/>
          <w:szCs w:val="17"/>
        </w:rPr>
      </w:pPr>
      <w:r w:rsidRPr="49B376B0">
        <w:rPr>
          <w:rFonts w:ascii="Verdana" w:eastAsia="Times New Roman" w:hAnsi="Verdana"/>
          <w:sz w:val="20"/>
        </w:rPr>
        <w:t>Attraverso quattro categorie di premio, il Supply Chain Awards riconosce il contributo concreto delle aziende partner allo sviluppo di una supply chain moderna, resiliente e ad alto valore aggiunto, in grado di supportare efficacemente le sfide industriali e strategiche di Eni.</w:t>
      </w:r>
    </w:p>
    <w:tbl>
      <w:tblPr>
        <w:tblStyle w:val="Grigliatabella"/>
        <w:tblW w:w="0" w:type="auto"/>
        <w:tblLook w:val="06A0" w:firstRow="1" w:lastRow="0" w:firstColumn="1" w:lastColumn="0" w:noHBand="1" w:noVBand="1"/>
      </w:tblPr>
      <w:tblGrid>
        <w:gridCol w:w="370"/>
        <w:gridCol w:w="2450"/>
        <w:gridCol w:w="1899"/>
        <w:gridCol w:w="4341"/>
      </w:tblGrid>
      <w:tr w:rsidR="001D05D4" w14:paraId="56AE8BEB" w14:textId="77777777" w:rsidTr="00A53611">
        <w:trPr>
          <w:trHeight w:val="300"/>
        </w:trPr>
        <w:tc>
          <w:tcPr>
            <w:tcW w:w="2985" w:type="dxa"/>
            <w:gridSpan w:val="2"/>
            <w:shd w:val="clear" w:color="auto" w:fill="FFC000"/>
            <w:vAlign w:val="center"/>
          </w:tcPr>
          <w:p w14:paraId="3FFC857C" w14:textId="77777777" w:rsidR="001D05D4" w:rsidRDefault="001D05D4" w:rsidP="00A53611">
            <w:pPr>
              <w:jc w:val="center"/>
              <w:rPr>
                <w:rFonts w:ascii="Verdana" w:eastAsia="Times New Roman" w:hAnsi="Verdana"/>
                <w:b/>
                <w:bCs/>
                <w:sz w:val="20"/>
              </w:rPr>
            </w:pPr>
            <w:r w:rsidRPr="49B376B0">
              <w:rPr>
                <w:rFonts w:ascii="Verdana" w:eastAsia="Times New Roman" w:hAnsi="Verdana"/>
                <w:b/>
                <w:bCs/>
                <w:sz w:val="20"/>
              </w:rPr>
              <w:t>Categoria</w:t>
            </w:r>
          </w:p>
        </w:tc>
        <w:tc>
          <w:tcPr>
            <w:tcW w:w="1905" w:type="dxa"/>
            <w:shd w:val="clear" w:color="auto" w:fill="FFC000"/>
            <w:vAlign w:val="center"/>
          </w:tcPr>
          <w:p w14:paraId="5599C62E" w14:textId="77777777" w:rsidR="001D05D4" w:rsidRDefault="001D05D4" w:rsidP="00A53611">
            <w:pPr>
              <w:jc w:val="center"/>
              <w:rPr>
                <w:rFonts w:ascii="Verdana" w:eastAsia="Times New Roman" w:hAnsi="Verdana"/>
                <w:b/>
                <w:bCs/>
                <w:sz w:val="20"/>
              </w:rPr>
            </w:pPr>
            <w:r w:rsidRPr="49B376B0">
              <w:rPr>
                <w:rFonts w:ascii="Verdana" w:eastAsia="Times New Roman" w:hAnsi="Verdana"/>
                <w:b/>
                <w:bCs/>
                <w:sz w:val="20"/>
              </w:rPr>
              <w:t>Modalità di partecipazione</w:t>
            </w:r>
          </w:p>
        </w:tc>
        <w:tc>
          <w:tcPr>
            <w:tcW w:w="4860" w:type="dxa"/>
            <w:shd w:val="clear" w:color="auto" w:fill="FFC000"/>
            <w:vAlign w:val="center"/>
          </w:tcPr>
          <w:p w14:paraId="0754AE47" w14:textId="77777777" w:rsidR="001D05D4" w:rsidRPr="005E5318" w:rsidRDefault="001D05D4" w:rsidP="00A53611">
            <w:pPr>
              <w:jc w:val="center"/>
              <w:rPr>
                <w:rFonts w:ascii="Verdana" w:eastAsia="Times New Roman" w:hAnsi="Verdana"/>
                <w:sz w:val="20"/>
              </w:rPr>
            </w:pPr>
            <w:r w:rsidRPr="005E5318">
              <w:rPr>
                <w:rFonts w:ascii="Verdana" w:eastAsia="Times New Roman" w:hAnsi="Verdana"/>
                <w:b/>
                <w:bCs/>
                <w:sz w:val="20"/>
              </w:rPr>
              <w:t>Fattori premianti</w:t>
            </w:r>
          </w:p>
        </w:tc>
      </w:tr>
      <w:tr w:rsidR="001D05D4" w14:paraId="412081C8" w14:textId="77777777" w:rsidTr="00A53611">
        <w:trPr>
          <w:trHeight w:val="660"/>
        </w:trPr>
        <w:tc>
          <w:tcPr>
            <w:tcW w:w="375" w:type="dxa"/>
            <w:vAlign w:val="center"/>
          </w:tcPr>
          <w:p w14:paraId="013AA412" w14:textId="77777777" w:rsidR="001D05D4" w:rsidRDefault="001D05D4" w:rsidP="00A53611">
            <w:pPr>
              <w:rPr>
                <w:rFonts w:ascii="Verdana" w:eastAsia="Times New Roman" w:hAnsi="Verdana"/>
                <w:sz w:val="20"/>
              </w:rPr>
            </w:pPr>
            <w:r w:rsidRPr="49B376B0">
              <w:rPr>
                <w:rFonts w:ascii="Verdana" w:eastAsia="Times New Roman" w:hAnsi="Verdana"/>
                <w:sz w:val="20"/>
              </w:rPr>
              <w:t>1</w:t>
            </w:r>
          </w:p>
        </w:tc>
        <w:tc>
          <w:tcPr>
            <w:tcW w:w="2610" w:type="dxa"/>
            <w:vAlign w:val="center"/>
          </w:tcPr>
          <w:p w14:paraId="41B4F705" w14:textId="77777777" w:rsidR="001D05D4" w:rsidRDefault="001D05D4" w:rsidP="00A53611">
            <w:pPr>
              <w:rPr>
                <w:rFonts w:ascii="Verdana" w:eastAsia="Times New Roman" w:hAnsi="Verdana"/>
                <w:sz w:val="20"/>
              </w:rPr>
            </w:pPr>
            <w:r w:rsidRPr="49B376B0">
              <w:rPr>
                <w:rFonts w:ascii="Verdana" w:eastAsia="Times New Roman" w:hAnsi="Verdana"/>
                <w:sz w:val="20"/>
              </w:rPr>
              <w:t>SAFETY EXECUTION</w:t>
            </w:r>
          </w:p>
        </w:tc>
        <w:tc>
          <w:tcPr>
            <w:tcW w:w="1905" w:type="dxa"/>
            <w:vAlign w:val="center"/>
          </w:tcPr>
          <w:p w14:paraId="5675424C" w14:textId="77777777" w:rsidR="001D05D4" w:rsidRDefault="001D05D4" w:rsidP="00A53611">
            <w:pPr>
              <w:rPr>
                <w:rFonts w:ascii="Verdana" w:eastAsia="Times New Roman" w:hAnsi="Verdana"/>
                <w:sz w:val="20"/>
              </w:rPr>
            </w:pPr>
            <w:r w:rsidRPr="49B376B0">
              <w:rPr>
                <w:rFonts w:ascii="Verdana" w:eastAsia="Times New Roman" w:hAnsi="Verdana"/>
                <w:sz w:val="20"/>
              </w:rPr>
              <w:t>Automatica</w:t>
            </w:r>
          </w:p>
        </w:tc>
        <w:tc>
          <w:tcPr>
            <w:tcW w:w="4860" w:type="dxa"/>
            <w:vAlign w:val="center"/>
          </w:tcPr>
          <w:p w14:paraId="6B7D4DDA" w14:textId="77777777" w:rsidR="001D05D4" w:rsidRDefault="001D05D4" w:rsidP="00A53611">
            <w:pPr>
              <w:rPr>
                <w:rFonts w:ascii="Verdana" w:eastAsia="Times New Roman" w:hAnsi="Verdana"/>
                <w:sz w:val="20"/>
              </w:rPr>
            </w:pPr>
            <w:r w:rsidRPr="49B376B0">
              <w:rPr>
                <w:rFonts w:ascii="Verdana" w:eastAsia="Times New Roman" w:hAnsi="Verdana"/>
                <w:sz w:val="20"/>
              </w:rPr>
              <w:t>Performance puntuali rilevate sul campo</w:t>
            </w:r>
          </w:p>
        </w:tc>
      </w:tr>
      <w:tr w:rsidR="001D05D4" w14:paraId="22B72808" w14:textId="77777777" w:rsidTr="00A53611">
        <w:trPr>
          <w:trHeight w:val="705"/>
        </w:trPr>
        <w:tc>
          <w:tcPr>
            <w:tcW w:w="375" w:type="dxa"/>
            <w:vAlign w:val="center"/>
          </w:tcPr>
          <w:p w14:paraId="171FAA8E" w14:textId="77777777" w:rsidR="001D05D4" w:rsidRDefault="001D05D4" w:rsidP="00A53611">
            <w:pPr>
              <w:rPr>
                <w:rFonts w:ascii="Verdana" w:eastAsia="Times New Roman" w:hAnsi="Verdana"/>
                <w:sz w:val="20"/>
              </w:rPr>
            </w:pPr>
            <w:r w:rsidRPr="49B376B0">
              <w:rPr>
                <w:rFonts w:ascii="Verdana" w:eastAsia="Times New Roman" w:hAnsi="Verdana"/>
                <w:sz w:val="20"/>
              </w:rPr>
              <w:t>2</w:t>
            </w:r>
          </w:p>
        </w:tc>
        <w:tc>
          <w:tcPr>
            <w:tcW w:w="2610" w:type="dxa"/>
            <w:vAlign w:val="center"/>
          </w:tcPr>
          <w:p w14:paraId="34DEB558" w14:textId="77777777" w:rsidR="001D05D4" w:rsidRDefault="001D05D4" w:rsidP="00A53611">
            <w:pPr>
              <w:rPr>
                <w:rFonts w:ascii="Verdana" w:eastAsia="Times New Roman" w:hAnsi="Verdana"/>
                <w:sz w:val="20"/>
              </w:rPr>
            </w:pPr>
            <w:r w:rsidRPr="49B376B0">
              <w:rPr>
                <w:rFonts w:ascii="Verdana" w:eastAsia="Times New Roman" w:hAnsi="Verdana"/>
                <w:sz w:val="20"/>
              </w:rPr>
              <w:t>SAFETY CONTINUOUS IMPROVEMENT</w:t>
            </w:r>
          </w:p>
        </w:tc>
        <w:tc>
          <w:tcPr>
            <w:tcW w:w="1905" w:type="dxa"/>
            <w:vAlign w:val="center"/>
          </w:tcPr>
          <w:p w14:paraId="5EDFCDCE" w14:textId="77777777" w:rsidR="001D05D4" w:rsidRDefault="001D05D4" w:rsidP="00A53611">
            <w:pPr>
              <w:rPr>
                <w:rFonts w:ascii="Verdana" w:eastAsia="Times New Roman" w:hAnsi="Verdana"/>
                <w:sz w:val="20"/>
              </w:rPr>
            </w:pPr>
            <w:r w:rsidRPr="49B376B0">
              <w:rPr>
                <w:rFonts w:ascii="Verdana" w:eastAsia="Times New Roman" w:hAnsi="Verdana"/>
                <w:sz w:val="20"/>
              </w:rPr>
              <w:t>Presentazione candidatura</w:t>
            </w:r>
          </w:p>
        </w:tc>
        <w:tc>
          <w:tcPr>
            <w:tcW w:w="4860" w:type="dxa"/>
            <w:vAlign w:val="center"/>
          </w:tcPr>
          <w:p w14:paraId="4AE733B3" w14:textId="77777777" w:rsidR="001D05D4" w:rsidRDefault="001D05D4" w:rsidP="00A53611">
            <w:pPr>
              <w:rPr>
                <w:rFonts w:ascii="Verdana" w:eastAsia="Times New Roman" w:hAnsi="Verdana"/>
                <w:sz w:val="20"/>
              </w:rPr>
            </w:pPr>
            <w:r w:rsidRPr="49B376B0">
              <w:rPr>
                <w:rFonts w:ascii="Verdana" w:eastAsia="Times New Roman" w:hAnsi="Verdana"/>
                <w:sz w:val="20"/>
              </w:rPr>
              <w:t>Implementazione di nuove iniziative concrete di sicurezza nelle attività svolte per Eni</w:t>
            </w:r>
          </w:p>
        </w:tc>
      </w:tr>
      <w:tr w:rsidR="001D05D4" w14:paraId="7AD4B64F" w14:textId="77777777" w:rsidTr="00A53611">
        <w:trPr>
          <w:trHeight w:val="660"/>
        </w:trPr>
        <w:tc>
          <w:tcPr>
            <w:tcW w:w="375" w:type="dxa"/>
            <w:vAlign w:val="center"/>
          </w:tcPr>
          <w:p w14:paraId="678771C0" w14:textId="77777777" w:rsidR="001D05D4" w:rsidRDefault="001D05D4" w:rsidP="00A53611">
            <w:pPr>
              <w:rPr>
                <w:rFonts w:ascii="Verdana" w:eastAsia="Times New Roman" w:hAnsi="Verdana"/>
                <w:sz w:val="20"/>
              </w:rPr>
            </w:pPr>
            <w:r w:rsidRPr="49B376B0">
              <w:rPr>
                <w:rFonts w:ascii="Verdana" w:eastAsia="Times New Roman" w:hAnsi="Verdana"/>
                <w:sz w:val="20"/>
              </w:rPr>
              <w:t>3</w:t>
            </w:r>
          </w:p>
        </w:tc>
        <w:tc>
          <w:tcPr>
            <w:tcW w:w="2610" w:type="dxa"/>
            <w:vAlign w:val="center"/>
          </w:tcPr>
          <w:p w14:paraId="5223D174" w14:textId="77777777" w:rsidR="001D05D4" w:rsidRDefault="001D05D4" w:rsidP="00A53611">
            <w:pPr>
              <w:rPr>
                <w:rFonts w:ascii="Verdana" w:eastAsia="Times New Roman" w:hAnsi="Verdana"/>
                <w:sz w:val="20"/>
              </w:rPr>
            </w:pPr>
            <w:r w:rsidRPr="49B376B0">
              <w:rPr>
                <w:rFonts w:ascii="Verdana" w:eastAsia="Times New Roman" w:hAnsi="Verdana"/>
                <w:sz w:val="20"/>
              </w:rPr>
              <w:t>TECHNOLOGY INNOVATION</w:t>
            </w:r>
          </w:p>
        </w:tc>
        <w:tc>
          <w:tcPr>
            <w:tcW w:w="1905" w:type="dxa"/>
            <w:vAlign w:val="center"/>
          </w:tcPr>
          <w:p w14:paraId="43272EE6" w14:textId="77777777" w:rsidR="001D05D4" w:rsidRDefault="001D05D4" w:rsidP="00A53611">
            <w:pPr>
              <w:rPr>
                <w:rFonts w:ascii="Verdana" w:eastAsia="Times New Roman" w:hAnsi="Verdana"/>
                <w:sz w:val="20"/>
              </w:rPr>
            </w:pPr>
            <w:r w:rsidRPr="49B376B0">
              <w:rPr>
                <w:rFonts w:ascii="Verdana" w:eastAsia="Times New Roman" w:hAnsi="Verdana"/>
                <w:sz w:val="20"/>
              </w:rPr>
              <w:t>Presentazione candidatura</w:t>
            </w:r>
          </w:p>
        </w:tc>
        <w:tc>
          <w:tcPr>
            <w:tcW w:w="4860" w:type="dxa"/>
            <w:vAlign w:val="center"/>
          </w:tcPr>
          <w:p w14:paraId="513F0CA3" w14:textId="77777777" w:rsidR="001D05D4" w:rsidRDefault="001D05D4" w:rsidP="00A53611">
            <w:pPr>
              <w:rPr>
                <w:rFonts w:ascii="Verdana" w:eastAsia="Times New Roman" w:hAnsi="Verdana"/>
                <w:sz w:val="20"/>
              </w:rPr>
            </w:pPr>
            <w:r w:rsidRPr="49B376B0">
              <w:rPr>
                <w:rFonts w:ascii="Verdana" w:eastAsia="Times New Roman" w:hAnsi="Verdana"/>
                <w:sz w:val="20"/>
              </w:rPr>
              <w:t>Adozione e/o sviluppo di tecnologie innovative nei servizi svolti per Eni</w:t>
            </w:r>
          </w:p>
        </w:tc>
      </w:tr>
      <w:tr w:rsidR="001D05D4" w14:paraId="4F6EAC1F" w14:textId="77777777" w:rsidTr="00A53611">
        <w:trPr>
          <w:trHeight w:val="690"/>
        </w:trPr>
        <w:tc>
          <w:tcPr>
            <w:tcW w:w="375" w:type="dxa"/>
            <w:vAlign w:val="center"/>
          </w:tcPr>
          <w:p w14:paraId="4D62E085" w14:textId="77777777" w:rsidR="001D05D4" w:rsidRDefault="001D05D4" w:rsidP="00A53611">
            <w:pPr>
              <w:rPr>
                <w:rFonts w:ascii="Verdana" w:eastAsia="Times New Roman" w:hAnsi="Verdana"/>
                <w:sz w:val="20"/>
              </w:rPr>
            </w:pPr>
            <w:r w:rsidRPr="49B376B0">
              <w:rPr>
                <w:rFonts w:ascii="Verdana" w:eastAsia="Times New Roman" w:hAnsi="Verdana"/>
                <w:sz w:val="20"/>
              </w:rPr>
              <w:t>4</w:t>
            </w:r>
          </w:p>
        </w:tc>
        <w:tc>
          <w:tcPr>
            <w:tcW w:w="2610" w:type="dxa"/>
            <w:vAlign w:val="center"/>
          </w:tcPr>
          <w:p w14:paraId="654C36D7" w14:textId="77777777" w:rsidR="001D05D4" w:rsidRDefault="001D05D4" w:rsidP="00A53611">
            <w:pPr>
              <w:rPr>
                <w:rFonts w:ascii="Verdana" w:eastAsia="Times New Roman" w:hAnsi="Verdana"/>
                <w:sz w:val="20"/>
              </w:rPr>
            </w:pPr>
            <w:r w:rsidRPr="49B376B0">
              <w:rPr>
                <w:rFonts w:ascii="Verdana" w:eastAsia="Times New Roman" w:hAnsi="Verdana"/>
                <w:sz w:val="20"/>
              </w:rPr>
              <w:t>DEVELOPMENT ATTITUDE</w:t>
            </w:r>
          </w:p>
        </w:tc>
        <w:tc>
          <w:tcPr>
            <w:tcW w:w="1905" w:type="dxa"/>
            <w:vAlign w:val="center"/>
          </w:tcPr>
          <w:p w14:paraId="37E0BEDB" w14:textId="77777777" w:rsidR="001D05D4" w:rsidRDefault="001D05D4" w:rsidP="00A53611">
            <w:pPr>
              <w:rPr>
                <w:rFonts w:ascii="Verdana" w:eastAsia="Times New Roman" w:hAnsi="Verdana"/>
                <w:sz w:val="20"/>
              </w:rPr>
            </w:pPr>
            <w:r w:rsidRPr="49B376B0">
              <w:rPr>
                <w:rFonts w:ascii="Verdana" w:eastAsia="Times New Roman" w:hAnsi="Verdana"/>
                <w:sz w:val="20"/>
              </w:rPr>
              <w:t>Presentazione candidatura</w:t>
            </w:r>
          </w:p>
        </w:tc>
        <w:tc>
          <w:tcPr>
            <w:tcW w:w="4860" w:type="dxa"/>
            <w:vAlign w:val="center"/>
          </w:tcPr>
          <w:p w14:paraId="4406AEDA" w14:textId="77777777" w:rsidR="001D05D4" w:rsidRPr="005E5318" w:rsidRDefault="001D05D4" w:rsidP="00A53611">
            <w:pPr>
              <w:rPr>
                <w:rFonts w:ascii="Verdana" w:eastAsia="Times New Roman" w:hAnsi="Verdana"/>
                <w:sz w:val="20"/>
              </w:rPr>
            </w:pPr>
            <w:r w:rsidRPr="49B376B0">
              <w:rPr>
                <w:rFonts w:ascii="Verdana" w:eastAsia="Times New Roman" w:hAnsi="Verdana"/>
                <w:sz w:val="20"/>
              </w:rPr>
              <w:t>Capacità di individuare aree di miglioramento ed esecuzione di azioni concrete per migliorare i servizi svolti per Eni</w:t>
            </w:r>
          </w:p>
        </w:tc>
      </w:tr>
    </w:tbl>
    <w:p w14:paraId="63CE13AD" w14:textId="77777777" w:rsidR="001D05D4" w:rsidRDefault="001D05D4" w:rsidP="001D05D4">
      <w:pPr>
        <w:spacing w:after="210" w:line="210" w:lineRule="atLeast"/>
        <w:jc w:val="both"/>
        <w:rPr>
          <w:rFonts w:ascii="Verdana" w:eastAsia="Times New Roman" w:hAnsi="Verdana"/>
          <w:b/>
          <w:bCs/>
          <w:i/>
          <w:iCs/>
          <w:sz w:val="20"/>
          <w:u w:val="single"/>
        </w:rPr>
      </w:pPr>
    </w:p>
    <w:p w14:paraId="73D5BBB2" w14:textId="77777777" w:rsidR="001D05D4" w:rsidRPr="006109DC" w:rsidRDefault="001D05D4" w:rsidP="001D05D4">
      <w:pPr>
        <w:spacing w:after="210" w:line="210" w:lineRule="atLeast"/>
        <w:jc w:val="both"/>
        <w:rPr>
          <w:rFonts w:ascii="Verdana" w:eastAsia="Times New Roman" w:hAnsi="Verdana"/>
          <w:sz w:val="20"/>
        </w:rPr>
      </w:pPr>
      <w:r w:rsidRPr="49B376B0">
        <w:rPr>
          <w:rFonts w:ascii="Verdana" w:eastAsia="Times New Roman" w:hAnsi="Verdana"/>
          <w:b/>
          <w:bCs/>
          <w:i/>
          <w:iCs/>
          <w:sz w:val="20"/>
          <w:u w:val="single"/>
        </w:rPr>
        <w:t>CATEGORIA 1: SAFETY EXECUTION</w:t>
      </w:r>
      <w:r w:rsidRPr="49B376B0">
        <w:rPr>
          <w:rFonts w:ascii="Verdana" w:eastAsia="Times New Roman" w:hAnsi="Verdana"/>
          <w:sz w:val="20"/>
        </w:rPr>
        <w:t xml:space="preserve">: aziende che si sono distinte per l’eccellenza operativa nell’esecuzione delle attività sul campo, dimostrando un impegno costante e concreto nella tutela della sicurezza delle persone e degli asset. Il riconoscimento è rivolto </w:t>
      </w:r>
      <w:r w:rsidRPr="49B376B0">
        <w:rPr>
          <w:rFonts w:ascii="Verdana" w:eastAsia="Times New Roman" w:hAnsi="Verdana"/>
          <w:sz w:val="20"/>
        </w:rPr>
        <w:lastRenderedPageBreak/>
        <w:t>ai partner della supply chain che, rispettando i requisiti HSEQ richiesti dal committente, si distinguono per l’adozione di pratiche rigorose, la cura del dettaglio operativo e una solida cultura della sicurezza, e che, grazie a questi elementi, hanno conseguito risultati di eccellenza nella gestione sicura delle proprie attività, inclusi i subappalti.</w:t>
      </w:r>
    </w:p>
    <w:p w14:paraId="295A30A7" w14:textId="1C8F1A7D" w:rsidR="001D05D4"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 xml:space="preserve">Per questa categoria </w:t>
      </w:r>
      <w:r w:rsidRPr="49B376B0">
        <w:rPr>
          <w:rFonts w:ascii="Verdana" w:eastAsia="Times New Roman" w:hAnsi="Verdana"/>
          <w:sz w:val="20"/>
          <w:u w:val="single"/>
        </w:rPr>
        <w:t>non è prevista la presentazione di candidature</w:t>
      </w:r>
      <w:r w:rsidRPr="49B376B0">
        <w:rPr>
          <w:rFonts w:ascii="Verdana" w:eastAsia="Times New Roman" w:hAnsi="Verdana"/>
          <w:sz w:val="20"/>
        </w:rPr>
        <w:t>. Il premio sarà assegnato direttamente dalla Giuria, sulla base di criteri predefiniti e mediante l’analisi dei dati già disponibili, quali, a titolo esemplificativo, IPSA, punteggio Open</w:t>
      </w:r>
      <w:r w:rsidRPr="49B376B0">
        <w:rPr>
          <w:rFonts w:ascii="Cambria Math" w:eastAsia="Times New Roman" w:hAnsi="Cambria Math" w:cs="Cambria Math"/>
          <w:sz w:val="20"/>
        </w:rPr>
        <w:t>￼</w:t>
      </w:r>
      <w:r w:rsidRPr="49B376B0">
        <w:rPr>
          <w:rFonts w:ascii="Verdana" w:eastAsia="Times New Roman" w:hAnsi="Verdana"/>
          <w:sz w:val="20"/>
        </w:rPr>
        <w:t>es, feedback di esecuzione e altri indicatori di performance rilevanti.</w:t>
      </w:r>
    </w:p>
    <w:p w14:paraId="6FF0101C" w14:textId="77777777" w:rsidR="001D05D4" w:rsidRPr="008F3A34" w:rsidRDefault="001D05D4" w:rsidP="001D05D4">
      <w:pPr>
        <w:spacing w:after="210" w:line="210" w:lineRule="atLeast"/>
        <w:jc w:val="both"/>
        <w:rPr>
          <w:rFonts w:ascii="Verdana" w:eastAsia="Times New Roman" w:hAnsi="Verdana"/>
          <w:sz w:val="20"/>
        </w:rPr>
      </w:pPr>
      <w:r w:rsidRPr="49B376B0">
        <w:rPr>
          <w:rFonts w:ascii="Verdana" w:eastAsia="Times New Roman" w:hAnsi="Verdana"/>
          <w:b/>
          <w:bCs/>
          <w:i/>
          <w:iCs/>
          <w:sz w:val="20"/>
          <w:u w:val="single"/>
        </w:rPr>
        <w:t>CATEGORIA 2 - SAFETY CONTINUOUS IMPROVEMENT</w:t>
      </w:r>
      <w:r w:rsidRPr="49B376B0">
        <w:rPr>
          <w:rFonts w:ascii="Verdana" w:eastAsia="Times New Roman" w:hAnsi="Verdana"/>
          <w:sz w:val="20"/>
        </w:rPr>
        <w:t>: La categoria è dedicata alle aziende che, nell’ambito di iniziative sviluppate su contratti Eni, si sono distinte nel 2025 - 2026 con iniziative distintive di miglioramento e rafforzamento della sicurezza, attraverso la promozione, la diffusione e l’implementazione di azioni mirate alla prevenzione dei rischi e degli infortuni.</w:t>
      </w:r>
    </w:p>
    <w:p w14:paraId="67A6F03D" w14:textId="77777777" w:rsidR="001D05D4" w:rsidRPr="008F3A34"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Il riconoscimento valorizza le realtà che hanno dimostrato concretamente di mettere in atto nuove iniziative, progetti, tecnologie, soluzioni processi facendo propria la cultura del “continuous improvement” applicato alla sicurezza contribuendo in modo significativo all’innalzamento delle performance all’interno della propria organizzazione.</w:t>
      </w:r>
    </w:p>
    <w:p w14:paraId="0A5B4DEC" w14:textId="77777777" w:rsidR="001D05D4"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Particolare rilievo è attribuito a iniziative caratterizzate da approcci sistematici, misurabili e con un coinvolgimento attivo e diffuso del personale proprio e dei subappaltatori.</w:t>
      </w:r>
    </w:p>
    <w:p w14:paraId="1B8DE04D" w14:textId="77777777" w:rsidR="001D05D4" w:rsidRPr="00B50BD5" w:rsidRDefault="001D05D4" w:rsidP="001D05D4">
      <w:pPr>
        <w:spacing w:after="210" w:line="210" w:lineRule="atLeast"/>
        <w:jc w:val="both"/>
        <w:rPr>
          <w:rFonts w:ascii="Verdana" w:eastAsia="Times New Roman" w:hAnsi="Verdana"/>
          <w:sz w:val="20"/>
        </w:rPr>
      </w:pPr>
      <w:r w:rsidRPr="49B376B0">
        <w:rPr>
          <w:rFonts w:ascii="Verdana" w:eastAsia="Times New Roman" w:hAnsi="Verdana"/>
          <w:b/>
          <w:bCs/>
          <w:i/>
          <w:iCs/>
          <w:sz w:val="20"/>
          <w:u w:val="single"/>
        </w:rPr>
        <w:t>CATEGORIA 3 – TECHNOLOGY INNOVATION</w:t>
      </w:r>
      <w:r w:rsidRPr="49B376B0">
        <w:rPr>
          <w:rFonts w:ascii="Verdana" w:eastAsia="Times New Roman" w:hAnsi="Verdana"/>
          <w:sz w:val="20"/>
        </w:rPr>
        <w:t>: La categoria è dedicata alle aziende che hanno implementato o sviluppato nuove tecnologie nell’ambito dei servizi svolti per Eni contribuendo a vantaggi tangibili per il rapporto di business in essere. In particolare, verranno apprezzati approcci di Open Innovation, attraverso la collaborazione e l’ingaggio con realtà innovative.</w:t>
      </w:r>
    </w:p>
    <w:p w14:paraId="2CE2980E" w14:textId="77777777" w:rsidR="001D05D4"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I progetti candidati devono dimostrare la capacità di avere un approccio aperto all’innovazione e una proattività nel proporre ed adottare ciò che il mercato tecnologico offre, contribuendo al miglioramento continuo dell’efficacia ed efficienza delle attività svolte.</w:t>
      </w:r>
    </w:p>
    <w:p w14:paraId="15FF4B0B" w14:textId="77777777" w:rsidR="001D05D4" w:rsidRPr="003731A6" w:rsidRDefault="001D05D4" w:rsidP="001D05D4">
      <w:pPr>
        <w:spacing w:after="210" w:line="210" w:lineRule="atLeast"/>
        <w:jc w:val="both"/>
        <w:rPr>
          <w:rFonts w:ascii="Verdana" w:eastAsia="Times New Roman" w:hAnsi="Verdana"/>
          <w:b/>
          <w:bCs/>
          <w:i/>
          <w:iCs/>
          <w:sz w:val="20"/>
          <w:u w:val="single"/>
        </w:rPr>
      </w:pPr>
      <w:r w:rsidRPr="49B376B0">
        <w:rPr>
          <w:rFonts w:ascii="Verdana" w:eastAsia="Times New Roman" w:hAnsi="Verdana"/>
          <w:b/>
          <w:bCs/>
          <w:i/>
          <w:iCs/>
          <w:sz w:val="20"/>
          <w:u w:val="single"/>
        </w:rPr>
        <w:t>CATEGORIA 4 - DEVELOPMENT ATTITUDE</w:t>
      </w:r>
    </w:p>
    <w:p w14:paraId="7DEE983E" w14:textId="77777777" w:rsidR="001D05D4" w:rsidRPr="00465388" w:rsidRDefault="001D05D4" w:rsidP="001D05D4">
      <w:pPr>
        <w:spacing w:after="210" w:line="210" w:lineRule="atLeast"/>
        <w:jc w:val="both"/>
        <w:rPr>
          <w:rFonts w:ascii="Verdana" w:eastAsia="Times New Roman" w:hAnsi="Verdana"/>
          <w:sz w:val="20"/>
        </w:rPr>
      </w:pPr>
      <w:r w:rsidRPr="00465388">
        <w:rPr>
          <w:rFonts w:ascii="Verdana" w:eastAsia="Times New Roman" w:hAnsi="Verdana"/>
          <w:sz w:val="20"/>
        </w:rPr>
        <w:t>La categoria è rivolta alle aziende che, nell’ambito delle attività e dei contratti Eni, hanno dimostrato un atteggiamento propositivo e reattivo rispetto a situazioni di attenzione emerse da feedback ricevuti/analisi interne o aree di miglioramento individuate a seguito di gap analysis.</w:t>
      </w:r>
    </w:p>
    <w:p w14:paraId="45538C04" w14:textId="77777777" w:rsidR="001D05D4" w:rsidRPr="001E62DB" w:rsidRDefault="001D05D4" w:rsidP="001D05D4">
      <w:pPr>
        <w:spacing w:after="210" w:line="210" w:lineRule="atLeast"/>
        <w:jc w:val="both"/>
        <w:rPr>
          <w:rFonts w:ascii="Verdana" w:eastAsia="Times New Roman" w:hAnsi="Verdana"/>
          <w:sz w:val="20"/>
        </w:rPr>
      </w:pPr>
      <w:r w:rsidRPr="001E62DB">
        <w:rPr>
          <w:rFonts w:ascii="Verdana" w:eastAsia="Times New Roman" w:hAnsi="Verdana"/>
          <w:sz w:val="20"/>
        </w:rPr>
        <w:t>Il riconoscimento premia le realtà che hanno saputo definire e implementare concretamente piani di sviluppo derivanti dagli strumenti messi a disposizione da Eni (es. Open-es) o da feedback ricevuti nell’attività operativa e nella relazione con la funzione di Vendor Management &amp; Development.</w:t>
      </w:r>
    </w:p>
    <w:p w14:paraId="312F5B48" w14:textId="77777777" w:rsidR="001D05D4" w:rsidRDefault="001D05D4" w:rsidP="001D05D4">
      <w:pPr>
        <w:spacing w:after="210" w:line="210" w:lineRule="atLeast"/>
        <w:jc w:val="both"/>
        <w:rPr>
          <w:rFonts w:ascii="Verdana" w:eastAsia="Times New Roman" w:hAnsi="Verdana"/>
          <w:sz w:val="20"/>
        </w:rPr>
      </w:pPr>
      <w:r w:rsidRPr="001E62DB">
        <w:rPr>
          <w:rFonts w:ascii="Verdana" w:eastAsia="Times New Roman" w:hAnsi="Verdana"/>
          <w:sz w:val="20"/>
        </w:rPr>
        <w:t>Verranno inoltre apprezzate attività che hanno visto il coinvolgimento dei subappaltatori e della filiera, in un’ottica di responsabilità e sviluppo condiviso lungo la catena del valore.</w:t>
      </w:r>
    </w:p>
    <w:p w14:paraId="7D324651" w14:textId="77777777" w:rsidR="001D05D4" w:rsidRDefault="001D05D4" w:rsidP="001D05D4">
      <w:pPr>
        <w:spacing w:after="210" w:line="210" w:lineRule="atLeast"/>
        <w:jc w:val="both"/>
        <w:rPr>
          <w:rFonts w:ascii="Verdana" w:eastAsia="Times New Roman" w:hAnsi="Verdana"/>
          <w:sz w:val="20"/>
        </w:rPr>
      </w:pPr>
    </w:p>
    <w:p w14:paraId="51ED6741" w14:textId="77777777" w:rsidR="001D05D4" w:rsidRDefault="001D05D4" w:rsidP="001D05D4">
      <w:pPr>
        <w:spacing w:after="210" w:line="210" w:lineRule="atLeast"/>
        <w:jc w:val="both"/>
        <w:rPr>
          <w:rFonts w:ascii="Verdana" w:eastAsia="Times New Roman" w:hAnsi="Verdana"/>
          <w:sz w:val="20"/>
        </w:rPr>
      </w:pPr>
    </w:p>
    <w:p w14:paraId="3D33D910" w14:textId="77777777" w:rsidR="001D05D4" w:rsidRDefault="001D05D4" w:rsidP="001D05D4">
      <w:pPr>
        <w:spacing w:after="210" w:line="210" w:lineRule="atLeast"/>
        <w:jc w:val="both"/>
        <w:rPr>
          <w:rFonts w:ascii="Verdana" w:eastAsia="Times New Roman" w:hAnsi="Verdana"/>
          <w:sz w:val="20"/>
        </w:rPr>
      </w:pPr>
    </w:p>
    <w:p w14:paraId="53A99FF4" w14:textId="77777777" w:rsidR="001D05D4" w:rsidRDefault="001D05D4" w:rsidP="004953B3">
      <w:pPr>
        <w:jc w:val="center"/>
        <w:rPr>
          <w:rFonts w:ascii="Verdana" w:hAnsi="Verdana"/>
          <w:b/>
          <w:bCs/>
          <w:color w:val="F79646"/>
          <w:sz w:val="36"/>
          <w:szCs w:val="36"/>
        </w:rPr>
      </w:pPr>
      <w:r w:rsidRPr="004953B3">
        <w:rPr>
          <w:rFonts w:ascii="Verdana" w:hAnsi="Verdana"/>
          <w:b/>
          <w:bCs/>
          <w:color w:val="F79646"/>
          <w:sz w:val="36"/>
          <w:szCs w:val="36"/>
        </w:rPr>
        <w:t>REQUISITI E MODALITA’ DI PARTECIPAZIONE</w:t>
      </w:r>
    </w:p>
    <w:p w14:paraId="4D709254" w14:textId="77777777" w:rsidR="004953B3" w:rsidRDefault="004953B3" w:rsidP="004953B3">
      <w:pPr>
        <w:jc w:val="center"/>
        <w:rPr>
          <w:rFonts w:ascii="Verdana" w:hAnsi="Verdana"/>
          <w:b/>
          <w:bCs/>
          <w:color w:val="F79646"/>
          <w:sz w:val="36"/>
          <w:szCs w:val="36"/>
        </w:rPr>
      </w:pPr>
    </w:p>
    <w:p w14:paraId="2D6A3A5E" w14:textId="77777777" w:rsidR="001D05D4" w:rsidRDefault="001D05D4" w:rsidP="001D05D4">
      <w:pPr>
        <w:spacing w:after="210" w:line="210" w:lineRule="atLeast"/>
        <w:jc w:val="both"/>
        <w:rPr>
          <w:rFonts w:ascii="Verdana" w:eastAsia="Times New Roman" w:hAnsi="Verdana"/>
          <w:iCs/>
          <w:sz w:val="20"/>
          <w:szCs w:val="17"/>
        </w:rPr>
      </w:pPr>
      <w:r w:rsidRPr="000A3A41">
        <w:rPr>
          <w:rFonts w:ascii="Verdana" w:eastAsia="Times New Roman" w:hAnsi="Verdana"/>
          <w:iCs/>
          <w:sz w:val="20"/>
          <w:szCs w:val="17"/>
        </w:rPr>
        <w:t>Saranno considerate valide le candidature delle imprese che soddisfano i seguenti requisiti:</w:t>
      </w:r>
    </w:p>
    <w:p w14:paraId="5F4E031C" w14:textId="77777777" w:rsidR="001D05D4" w:rsidRDefault="001D05D4" w:rsidP="001D05D4">
      <w:pPr>
        <w:pStyle w:val="Paragrafoelenco"/>
        <w:numPr>
          <w:ilvl w:val="0"/>
          <w:numId w:val="2"/>
        </w:numPr>
        <w:spacing w:after="210" w:line="210" w:lineRule="atLeast"/>
        <w:jc w:val="both"/>
        <w:rPr>
          <w:rFonts w:ascii="Verdana" w:eastAsia="Times New Roman" w:hAnsi="Verdana"/>
          <w:iCs/>
          <w:sz w:val="20"/>
          <w:szCs w:val="17"/>
        </w:rPr>
      </w:pPr>
      <w:r w:rsidRPr="000A3A41">
        <w:rPr>
          <w:rFonts w:ascii="Verdana" w:eastAsia="Times New Roman" w:hAnsi="Verdana"/>
          <w:iCs/>
          <w:sz w:val="20"/>
          <w:szCs w:val="17"/>
        </w:rPr>
        <w:t>Possesso di almeno un contratto attivo con Eni, oppure concluso nel corso del 202</w:t>
      </w:r>
      <w:r>
        <w:rPr>
          <w:rFonts w:ascii="Verdana" w:eastAsia="Times New Roman" w:hAnsi="Verdana"/>
          <w:iCs/>
          <w:sz w:val="20"/>
          <w:szCs w:val="17"/>
        </w:rPr>
        <w:t>5;</w:t>
      </w:r>
    </w:p>
    <w:p w14:paraId="4EDA36A4" w14:textId="77777777" w:rsidR="001D05D4" w:rsidRPr="00257D68" w:rsidRDefault="001D05D4" w:rsidP="001D05D4">
      <w:pPr>
        <w:pStyle w:val="Paragrafoelenco"/>
        <w:numPr>
          <w:ilvl w:val="0"/>
          <w:numId w:val="2"/>
        </w:numPr>
        <w:spacing w:after="210" w:line="210" w:lineRule="atLeast"/>
        <w:jc w:val="both"/>
        <w:rPr>
          <w:rFonts w:ascii="Verdana" w:eastAsia="Times New Roman" w:hAnsi="Verdana"/>
          <w:sz w:val="20"/>
        </w:rPr>
      </w:pPr>
      <w:r w:rsidRPr="49B376B0">
        <w:rPr>
          <w:rFonts w:ascii="Verdana" w:eastAsia="Times New Roman" w:hAnsi="Verdana"/>
          <w:sz w:val="20"/>
        </w:rPr>
        <w:t xml:space="preserve">Registrazione sulla piattaforma </w:t>
      </w:r>
      <w:hyperlink r:id="rId7" w:history="1">
        <w:r w:rsidRPr="49B376B0">
          <w:rPr>
            <w:b/>
            <w:bCs/>
            <w:color w:val="0462C1"/>
            <w:spacing w:val="-1"/>
            <w:sz w:val="22"/>
            <w:szCs w:val="22"/>
            <w:u w:val="single" w:color="0462C1"/>
          </w:rPr>
          <w:t>Open-</w:t>
        </w:r>
      </w:hyperlink>
      <w:r w:rsidRPr="49B376B0">
        <w:rPr>
          <w:b/>
          <w:bCs/>
          <w:color w:val="0462C1"/>
          <w:spacing w:val="-1"/>
          <w:sz w:val="22"/>
          <w:szCs w:val="22"/>
          <w:u w:val="single" w:color="0462C1"/>
        </w:rPr>
        <w:t>es</w:t>
      </w:r>
      <w:r w:rsidRPr="49B376B0">
        <w:rPr>
          <w:color w:val="0462C1"/>
          <w:sz w:val="22"/>
          <w:szCs w:val="22"/>
        </w:rPr>
        <w:t xml:space="preserve">, </w:t>
      </w:r>
      <w:r w:rsidRPr="49B376B0">
        <w:rPr>
          <w:rFonts w:ascii="Verdana" w:eastAsia="Times New Roman" w:hAnsi="Verdana"/>
          <w:sz w:val="20"/>
        </w:rPr>
        <w:t xml:space="preserve">con il completamento almeno della Classe 1 – “Fondamentali”. Al momento della candidatura, sarà necessario allegare la propria </w:t>
      </w:r>
      <w:r w:rsidRPr="49B376B0">
        <w:rPr>
          <w:b/>
          <w:bCs/>
          <w:color w:val="0462C1"/>
          <w:spacing w:val="-1"/>
          <w:sz w:val="22"/>
          <w:szCs w:val="22"/>
          <w:u w:val="single" w:color="0462C1"/>
        </w:rPr>
        <w:t>Open-es Card*</w:t>
      </w:r>
      <w:r w:rsidRPr="49B376B0">
        <w:rPr>
          <w:rFonts w:ascii="Verdana" w:eastAsia="Times New Roman" w:hAnsi="Verdana"/>
          <w:sz w:val="20"/>
        </w:rPr>
        <w:t>(</w:t>
      </w:r>
      <w:r w:rsidRPr="49B376B0">
        <w:rPr>
          <w:rFonts w:ascii="Verdana" w:eastAsia="Times New Roman" w:hAnsi="Verdana"/>
          <w:i/>
          <w:iCs/>
          <w:sz w:val="20"/>
        </w:rPr>
        <w:t>vedi istruzioni riportate nell’ultima pagina</w:t>
      </w:r>
      <w:r w:rsidRPr="49B376B0">
        <w:rPr>
          <w:rFonts w:ascii="Verdana" w:eastAsia="Times New Roman" w:hAnsi="Verdana"/>
          <w:sz w:val="20"/>
        </w:rPr>
        <w:t>).</w:t>
      </w:r>
    </w:p>
    <w:p w14:paraId="5540A095" w14:textId="77777777" w:rsidR="001D05D4" w:rsidRPr="002B35BF" w:rsidRDefault="001D05D4" w:rsidP="001D05D4">
      <w:pPr>
        <w:spacing w:after="210" w:line="210" w:lineRule="atLeast"/>
        <w:jc w:val="both"/>
        <w:rPr>
          <w:rFonts w:ascii="Verdana" w:eastAsia="Times New Roman" w:hAnsi="Verdana"/>
          <w:b/>
          <w:bCs/>
          <w:sz w:val="20"/>
        </w:rPr>
      </w:pPr>
      <w:r w:rsidRPr="49B376B0">
        <w:rPr>
          <w:rFonts w:ascii="Verdana" w:eastAsia="Times New Roman" w:hAnsi="Verdana"/>
          <w:b/>
          <w:bCs/>
          <w:sz w:val="20"/>
        </w:rPr>
        <w:t>COME PARTECIPARE</w:t>
      </w:r>
    </w:p>
    <w:p w14:paraId="2B5D57C9" w14:textId="357D75F7" w:rsidR="001D05D4" w:rsidRPr="0081632C"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 xml:space="preserve">Per partecipare al ENI SUPPLY CHAIN AWARDS, il referente designato dall’azienda deve effettuare la registrazione compilando l’apposito </w:t>
      </w:r>
      <w:hyperlink r:id="rId8" w:history="1">
        <w:r w:rsidR="00F83CDD">
          <w:rPr>
            <w:rStyle w:val="Collegamentoipertestuale"/>
            <w:rFonts w:ascii="Verdana" w:eastAsia="Times New Roman" w:hAnsi="Verdana"/>
            <w:sz w:val="20"/>
          </w:rPr>
          <w:t>FORM</w:t>
        </w:r>
      </w:hyperlink>
      <w:r w:rsidR="007E08AD">
        <w:rPr>
          <w:rFonts w:ascii="Verdana" w:eastAsia="Times New Roman" w:hAnsi="Verdana"/>
          <w:sz w:val="20"/>
        </w:rPr>
        <w:t xml:space="preserve"> </w:t>
      </w:r>
      <w:r w:rsidRPr="49B376B0">
        <w:rPr>
          <w:rFonts w:ascii="Verdana" w:eastAsia="Times New Roman" w:hAnsi="Verdana"/>
          <w:sz w:val="20"/>
        </w:rPr>
        <w:t xml:space="preserve">online </w:t>
      </w:r>
      <w:r w:rsidRPr="49B376B0">
        <w:rPr>
          <w:rFonts w:ascii="Verdana" w:eastAsia="Times New Roman" w:hAnsi="Verdana"/>
          <w:b/>
          <w:bCs/>
          <w:sz w:val="20"/>
        </w:rPr>
        <w:t xml:space="preserve">entro il </w:t>
      </w:r>
      <w:r w:rsidR="0073739C">
        <w:rPr>
          <w:rFonts w:ascii="Verdana" w:eastAsia="Times New Roman" w:hAnsi="Verdana"/>
          <w:b/>
          <w:bCs/>
          <w:sz w:val="20"/>
        </w:rPr>
        <w:t>2</w:t>
      </w:r>
      <w:r w:rsidR="00AE11E1">
        <w:rPr>
          <w:rFonts w:ascii="Verdana" w:eastAsia="Times New Roman" w:hAnsi="Verdana"/>
          <w:b/>
          <w:bCs/>
          <w:sz w:val="20"/>
        </w:rPr>
        <w:t>6</w:t>
      </w:r>
      <w:r w:rsidRPr="49B376B0">
        <w:rPr>
          <w:rFonts w:ascii="Verdana" w:eastAsia="Times New Roman" w:hAnsi="Verdana"/>
          <w:b/>
          <w:bCs/>
          <w:sz w:val="20"/>
        </w:rPr>
        <w:t xml:space="preserve"> giugno 2026</w:t>
      </w:r>
      <w:r w:rsidRPr="49B376B0">
        <w:rPr>
          <w:rFonts w:ascii="Verdana" w:eastAsia="Times New Roman" w:hAnsi="Verdana"/>
          <w:sz w:val="20"/>
        </w:rPr>
        <w:t>, inserendo i propri dati e quelli della società.</w:t>
      </w:r>
    </w:p>
    <w:p w14:paraId="36FD83D3" w14:textId="77777777" w:rsidR="001D05D4" w:rsidRDefault="001D05D4" w:rsidP="001D05D4">
      <w:pPr>
        <w:spacing w:after="210" w:line="210" w:lineRule="atLeast"/>
        <w:jc w:val="both"/>
        <w:rPr>
          <w:rFonts w:ascii="Verdana" w:eastAsia="Times New Roman" w:hAnsi="Verdana"/>
          <w:iCs/>
          <w:sz w:val="20"/>
          <w:szCs w:val="17"/>
        </w:rPr>
      </w:pPr>
      <w:r w:rsidRPr="0081632C">
        <w:rPr>
          <w:rFonts w:ascii="Verdana" w:eastAsia="Times New Roman" w:hAnsi="Verdana"/>
          <w:iCs/>
          <w:sz w:val="20"/>
          <w:szCs w:val="17"/>
        </w:rPr>
        <w:t xml:space="preserve">A seguito della registrazione, </w:t>
      </w:r>
      <w:r w:rsidRPr="000D0560">
        <w:rPr>
          <w:rFonts w:ascii="Verdana" w:eastAsia="Times New Roman" w:hAnsi="Verdana"/>
          <w:iCs/>
          <w:sz w:val="20"/>
          <w:szCs w:val="17"/>
        </w:rPr>
        <w:t>le aziende interessate saranno invitate a partecipare a un webinar di presentazione dell’iniziativa, la cui data sarà comunicata con adeguato anticipo. Durante l’incontro verranno fornite tutte le informazioni utili e le istruzioni necessarie per la corretta presentazione del progetto.</w:t>
      </w:r>
    </w:p>
    <w:p w14:paraId="36B70C45" w14:textId="77777777" w:rsidR="001D05D4"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Per concorrere ai premi, è richiesta la presentazione di un progetto tramite una presentazione composta da un massimo di 10 slide. È consigliato integrare la candidatura con materiali di supporto che dimostrano la concreta efficacia dell’iniziativa presentata (es. documentazione interna, report sui risultati ottenuti, articoli di giornale, comunicati stampa, bilanci di sostenibilità, testimonianze di stakeholder, ecc.).</w:t>
      </w:r>
    </w:p>
    <w:p w14:paraId="275E8C02" w14:textId="77777777" w:rsidR="001D05D4" w:rsidRPr="0081632C" w:rsidRDefault="001D05D4" w:rsidP="001D05D4">
      <w:pPr>
        <w:spacing w:after="210" w:line="210" w:lineRule="atLeast"/>
        <w:jc w:val="both"/>
        <w:rPr>
          <w:rFonts w:ascii="Verdana" w:eastAsia="Times New Roman" w:hAnsi="Verdana"/>
          <w:iCs/>
          <w:sz w:val="20"/>
          <w:szCs w:val="17"/>
        </w:rPr>
      </w:pPr>
      <w:r w:rsidRPr="49B376B0">
        <w:rPr>
          <w:rFonts w:ascii="Verdana" w:eastAsia="Times New Roman" w:hAnsi="Verdana"/>
          <w:sz w:val="20"/>
        </w:rPr>
        <w:t>La presentazione dovrà essere strutturata secondo il seguente schema:</w:t>
      </w:r>
    </w:p>
    <w:p w14:paraId="712DF381" w14:textId="2A4E8004" w:rsidR="001D05D4" w:rsidRDefault="001D05D4" w:rsidP="001D05D4">
      <w:pPr>
        <w:pStyle w:val="Paragrafoelenco"/>
        <w:numPr>
          <w:ilvl w:val="0"/>
          <w:numId w:val="5"/>
        </w:numPr>
        <w:spacing w:after="210" w:line="210" w:lineRule="atLeast"/>
        <w:jc w:val="both"/>
        <w:rPr>
          <w:rFonts w:ascii="Verdana" w:eastAsia="Times New Roman" w:hAnsi="Verdana"/>
          <w:sz w:val="20"/>
        </w:rPr>
      </w:pPr>
      <w:r w:rsidRPr="49B376B0">
        <w:rPr>
          <w:rFonts w:ascii="Verdana" w:eastAsia="Times New Roman" w:hAnsi="Verdana"/>
          <w:sz w:val="20"/>
        </w:rPr>
        <w:t xml:space="preserve">Executive Summary: Obiettivo dell’iniziativa e </w:t>
      </w:r>
      <w:r w:rsidR="007E08AD" w:rsidRPr="49B376B0">
        <w:rPr>
          <w:rFonts w:ascii="Verdana" w:eastAsia="Times New Roman" w:hAnsi="Verdana"/>
          <w:sz w:val="20"/>
        </w:rPr>
        <w:t>perché</w:t>
      </w:r>
      <w:r w:rsidRPr="49B376B0">
        <w:rPr>
          <w:rFonts w:ascii="Verdana" w:eastAsia="Times New Roman" w:hAnsi="Verdana"/>
          <w:sz w:val="20"/>
        </w:rPr>
        <w:t xml:space="preserve"> risponde ai criteri indicati per la categoria di premio individuata così come descritti nel presente regolamento (1 Slide)</w:t>
      </w:r>
    </w:p>
    <w:p w14:paraId="0AE38058" w14:textId="77777777" w:rsidR="001D05D4" w:rsidRDefault="001D05D4" w:rsidP="001D05D4">
      <w:pPr>
        <w:pStyle w:val="Paragrafoelenco"/>
        <w:numPr>
          <w:ilvl w:val="0"/>
          <w:numId w:val="5"/>
        </w:numPr>
        <w:spacing w:after="210" w:line="210" w:lineRule="atLeast"/>
        <w:jc w:val="both"/>
        <w:rPr>
          <w:rFonts w:ascii="Verdana" w:eastAsia="Times New Roman" w:hAnsi="Verdana"/>
          <w:sz w:val="20"/>
        </w:rPr>
      </w:pPr>
      <w:r w:rsidRPr="49B376B0">
        <w:rPr>
          <w:rFonts w:ascii="Verdana" w:eastAsia="Times New Roman" w:hAnsi="Verdana"/>
          <w:sz w:val="20"/>
        </w:rPr>
        <w:t>Descrizione del progetto o dell’iniziativa candidata (da 1 a 7 Slide)</w:t>
      </w:r>
    </w:p>
    <w:p w14:paraId="54BF79C6" w14:textId="77777777" w:rsidR="001D05D4" w:rsidRDefault="001D05D4" w:rsidP="001D05D4">
      <w:pPr>
        <w:pStyle w:val="Paragrafoelenco"/>
        <w:numPr>
          <w:ilvl w:val="0"/>
          <w:numId w:val="5"/>
        </w:numPr>
        <w:spacing w:after="210" w:line="210" w:lineRule="atLeast"/>
        <w:jc w:val="both"/>
        <w:rPr>
          <w:rFonts w:ascii="Verdana" w:eastAsia="Times New Roman" w:hAnsi="Verdana"/>
          <w:sz w:val="20"/>
        </w:rPr>
      </w:pPr>
      <w:r w:rsidRPr="49B376B0">
        <w:rPr>
          <w:rFonts w:ascii="Verdana" w:eastAsia="Times New Roman" w:hAnsi="Verdana"/>
          <w:sz w:val="20"/>
        </w:rPr>
        <w:t>Benefici rilevati nei servizi / attività in essere con il Gruppo Eni (1 o 2 Slide)</w:t>
      </w:r>
    </w:p>
    <w:p w14:paraId="50AF778C" w14:textId="77777777" w:rsidR="001D05D4"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È possibile candidare la propria azienda su più</w:t>
      </w:r>
      <w:r w:rsidRPr="49B376B0">
        <w:rPr>
          <w:rFonts w:ascii="Verdana" w:eastAsia="Times New Roman" w:hAnsi="Verdana"/>
          <w:b/>
          <w:bCs/>
          <w:sz w:val="20"/>
        </w:rPr>
        <w:t xml:space="preserve"> categorie di premio.</w:t>
      </w:r>
    </w:p>
    <w:p w14:paraId="768A0ECC" w14:textId="77777777" w:rsidR="001D05D4" w:rsidRDefault="001D05D4" w:rsidP="001D05D4">
      <w:pPr>
        <w:spacing w:after="210" w:line="210" w:lineRule="atLeast"/>
        <w:jc w:val="both"/>
        <w:rPr>
          <w:rFonts w:ascii="Verdana" w:eastAsia="Times New Roman" w:hAnsi="Verdana"/>
          <w:iCs/>
          <w:sz w:val="20"/>
          <w:szCs w:val="17"/>
        </w:rPr>
      </w:pPr>
      <w:r w:rsidRPr="00DF28D7">
        <w:rPr>
          <w:rFonts w:ascii="Verdana" w:eastAsia="Times New Roman" w:hAnsi="Verdana"/>
          <w:iCs/>
          <w:sz w:val="20"/>
          <w:szCs w:val="17"/>
        </w:rPr>
        <w:t xml:space="preserve">I candidati sono invitati a inviare la propria candidatura via e-mail all'indirizzo </w:t>
      </w:r>
      <w:r w:rsidRPr="00852216">
        <w:rPr>
          <w:rFonts w:ascii="Verdana" w:eastAsia="Times New Roman" w:hAnsi="Verdana"/>
          <w:iCs/>
          <w:sz w:val="20"/>
          <w:szCs w:val="17"/>
        </w:rPr>
        <w:t>vendor.development@eni.com, seguendo</w:t>
      </w:r>
      <w:r w:rsidRPr="00DF28D7">
        <w:rPr>
          <w:rFonts w:ascii="Verdana" w:eastAsia="Times New Roman" w:hAnsi="Verdana"/>
          <w:iCs/>
          <w:sz w:val="20"/>
          <w:szCs w:val="17"/>
        </w:rPr>
        <w:t xml:space="preserve"> attentamente le istruzioni riportate di seguito.</w:t>
      </w:r>
    </w:p>
    <w:p w14:paraId="29669941" w14:textId="77777777" w:rsidR="001D05D4" w:rsidRPr="00DB44B6" w:rsidRDefault="001D05D4" w:rsidP="001D05D4">
      <w:pPr>
        <w:pStyle w:val="Paragrafoelenco"/>
        <w:numPr>
          <w:ilvl w:val="0"/>
          <w:numId w:val="8"/>
        </w:numPr>
        <w:spacing w:after="210" w:line="210" w:lineRule="atLeast"/>
        <w:jc w:val="both"/>
        <w:rPr>
          <w:rFonts w:ascii="Verdana" w:eastAsia="Times New Roman" w:hAnsi="Verdana"/>
          <w:sz w:val="20"/>
        </w:rPr>
      </w:pPr>
      <w:r w:rsidRPr="49B376B0">
        <w:rPr>
          <w:rFonts w:ascii="Verdana" w:eastAsia="Times New Roman" w:hAnsi="Verdana"/>
          <w:sz w:val="20"/>
        </w:rPr>
        <w:t>Oggetto dell’e-mail: CATEGORIA PREMIO + NOME SOCIETÀ</w:t>
      </w:r>
    </w:p>
    <w:p w14:paraId="601210E1" w14:textId="77777777" w:rsidR="001D05D4" w:rsidRPr="00DB44B6" w:rsidRDefault="001D05D4" w:rsidP="001D05D4">
      <w:pPr>
        <w:pStyle w:val="Paragrafoelenco"/>
        <w:numPr>
          <w:ilvl w:val="0"/>
          <w:numId w:val="7"/>
        </w:numPr>
        <w:spacing w:after="210" w:line="210" w:lineRule="atLeast"/>
        <w:jc w:val="both"/>
        <w:rPr>
          <w:rFonts w:ascii="Verdana" w:eastAsia="Times New Roman" w:hAnsi="Verdana"/>
          <w:iCs/>
          <w:sz w:val="20"/>
          <w:szCs w:val="17"/>
        </w:rPr>
      </w:pPr>
      <w:r w:rsidRPr="49B376B0">
        <w:rPr>
          <w:rFonts w:ascii="Verdana" w:eastAsia="Times New Roman" w:hAnsi="Verdana"/>
          <w:sz w:val="20"/>
        </w:rPr>
        <w:t>Allegati richiesti:</w:t>
      </w:r>
    </w:p>
    <w:p w14:paraId="301E5F68" w14:textId="77777777" w:rsidR="001D05D4" w:rsidRDefault="001D05D4" w:rsidP="001D05D4">
      <w:pPr>
        <w:pStyle w:val="Paragrafoelenco"/>
        <w:numPr>
          <w:ilvl w:val="1"/>
          <w:numId w:val="7"/>
        </w:numPr>
        <w:spacing w:after="210" w:line="210" w:lineRule="atLeast"/>
        <w:jc w:val="both"/>
        <w:rPr>
          <w:rFonts w:ascii="Verdana" w:eastAsia="Times New Roman" w:hAnsi="Verdana"/>
          <w:sz w:val="20"/>
        </w:rPr>
      </w:pPr>
      <w:r w:rsidRPr="49B376B0">
        <w:rPr>
          <w:rFonts w:ascii="Verdana" w:eastAsia="Times New Roman" w:hAnsi="Verdana"/>
          <w:sz w:val="20"/>
        </w:rPr>
        <w:t>Presentazione Progetto</w:t>
      </w:r>
    </w:p>
    <w:p w14:paraId="183EE031" w14:textId="77777777" w:rsidR="001D05D4" w:rsidRDefault="001D05D4" w:rsidP="001D05D4">
      <w:pPr>
        <w:pStyle w:val="Paragrafoelenco"/>
        <w:numPr>
          <w:ilvl w:val="1"/>
          <w:numId w:val="7"/>
        </w:numPr>
        <w:spacing w:after="210" w:line="210" w:lineRule="atLeast"/>
        <w:jc w:val="both"/>
        <w:rPr>
          <w:rFonts w:ascii="Verdana" w:eastAsia="Times New Roman" w:hAnsi="Verdana"/>
          <w:sz w:val="20"/>
        </w:rPr>
      </w:pPr>
      <w:r w:rsidRPr="49B376B0">
        <w:rPr>
          <w:rFonts w:ascii="Verdana" w:eastAsia="Times New Roman" w:hAnsi="Verdana"/>
          <w:sz w:val="20"/>
        </w:rPr>
        <w:t>Eventuale documentazione a supporto (unico file)</w:t>
      </w:r>
    </w:p>
    <w:p w14:paraId="3F2B6F40" w14:textId="77777777" w:rsidR="001D05D4" w:rsidRDefault="001D05D4" w:rsidP="001D05D4">
      <w:pPr>
        <w:pStyle w:val="Paragrafoelenco"/>
        <w:numPr>
          <w:ilvl w:val="1"/>
          <w:numId w:val="7"/>
        </w:numPr>
        <w:spacing w:after="210" w:line="210" w:lineRule="atLeast"/>
        <w:jc w:val="both"/>
        <w:rPr>
          <w:rFonts w:ascii="Verdana" w:eastAsia="Times New Roman" w:hAnsi="Verdana"/>
          <w:sz w:val="20"/>
        </w:rPr>
      </w:pPr>
      <w:r w:rsidRPr="49B376B0">
        <w:rPr>
          <w:rFonts w:ascii="Verdana" w:eastAsia="Times New Roman" w:hAnsi="Verdana"/>
          <w:sz w:val="20"/>
        </w:rPr>
        <w:t>Open-es Card</w:t>
      </w:r>
    </w:p>
    <w:p w14:paraId="0057AD9D" w14:textId="77777777" w:rsidR="001D05D4" w:rsidRDefault="001D05D4" w:rsidP="001D05D4">
      <w:pPr>
        <w:pStyle w:val="Paragrafoelenco"/>
        <w:spacing w:after="210" w:line="210" w:lineRule="atLeast"/>
        <w:jc w:val="both"/>
        <w:rPr>
          <w:rFonts w:ascii="Verdana" w:eastAsia="Times New Roman" w:hAnsi="Verdana"/>
          <w:b/>
          <w:bCs/>
          <w:iCs/>
          <w:sz w:val="20"/>
          <w:szCs w:val="17"/>
        </w:rPr>
      </w:pPr>
    </w:p>
    <w:p w14:paraId="0EE22ECE" w14:textId="77777777" w:rsidR="004953B3" w:rsidRDefault="004953B3" w:rsidP="001D05D4">
      <w:pPr>
        <w:pStyle w:val="Paragrafoelenco"/>
        <w:spacing w:after="210" w:line="210" w:lineRule="atLeast"/>
        <w:jc w:val="both"/>
        <w:rPr>
          <w:rFonts w:ascii="Verdana" w:eastAsia="Times New Roman" w:hAnsi="Verdana"/>
          <w:b/>
          <w:bCs/>
          <w:iCs/>
          <w:sz w:val="20"/>
          <w:szCs w:val="17"/>
        </w:rPr>
      </w:pPr>
    </w:p>
    <w:p w14:paraId="72D0EC71" w14:textId="77777777" w:rsidR="004953B3" w:rsidRDefault="004953B3" w:rsidP="001D05D4">
      <w:pPr>
        <w:pStyle w:val="Paragrafoelenco"/>
        <w:spacing w:after="210" w:line="210" w:lineRule="atLeast"/>
        <w:jc w:val="both"/>
        <w:rPr>
          <w:rFonts w:ascii="Verdana" w:eastAsia="Times New Roman" w:hAnsi="Verdana"/>
          <w:b/>
          <w:bCs/>
          <w:iCs/>
          <w:sz w:val="20"/>
          <w:szCs w:val="17"/>
        </w:rPr>
      </w:pPr>
    </w:p>
    <w:p w14:paraId="3EAC1ED3" w14:textId="77777777" w:rsidR="001D05D4" w:rsidRPr="004E2B07" w:rsidRDefault="001D05D4" w:rsidP="0072768A">
      <w:pPr>
        <w:spacing w:after="210" w:line="210" w:lineRule="atLeast"/>
        <w:jc w:val="both"/>
        <w:rPr>
          <w:rFonts w:ascii="Verdana" w:eastAsia="Times New Roman" w:hAnsi="Verdana"/>
          <w:b/>
          <w:bCs/>
          <w:sz w:val="20"/>
        </w:rPr>
      </w:pPr>
      <w:r w:rsidRPr="49B376B0">
        <w:rPr>
          <w:rFonts w:ascii="Verdana" w:eastAsia="Times New Roman" w:hAnsi="Verdana"/>
          <w:b/>
          <w:bCs/>
          <w:sz w:val="20"/>
        </w:rPr>
        <w:lastRenderedPageBreak/>
        <w:t xml:space="preserve">TEMPISTICHE E SCADENZE </w:t>
      </w:r>
    </w:p>
    <w:p w14:paraId="6C2766BC" w14:textId="001ED127" w:rsidR="001D05D4" w:rsidRPr="00415A12" w:rsidRDefault="001D05D4" w:rsidP="00415A12">
      <w:pPr>
        <w:pStyle w:val="Paragrafoelenco"/>
        <w:numPr>
          <w:ilvl w:val="0"/>
          <w:numId w:val="8"/>
        </w:numPr>
        <w:spacing w:after="210" w:line="210" w:lineRule="atLeast"/>
        <w:jc w:val="both"/>
        <w:rPr>
          <w:rFonts w:ascii="Verdana" w:eastAsia="Times New Roman" w:hAnsi="Verdana"/>
          <w:sz w:val="20"/>
        </w:rPr>
      </w:pPr>
      <w:r w:rsidRPr="49B376B0">
        <w:rPr>
          <w:rFonts w:ascii="Verdana" w:eastAsia="Times New Roman" w:hAnsi="Verdana"/>
          <w:sz w:val="20"/>
        </w:rPr>
        <w:t xml:space="preserve">Presentazione Manifestazione d’interesse tramite compilazione </w:t>
      </w:r>
      <w:hyperlink r:id="rId9" w:history="1">
        <w:r w:rsidR="00415A12">
          <w:rPr>
            <w:rStyle w:val="Collegamentoipertestuale"/>
            <w:rFonts w:ascii="Verdana" w:eastAsia="Times New Roman" w:hAnsi="Verdana"/>
            <w:sz w:val="20"/>
          </w:rPr>
          <w:t>FORM</w:t>
        </w:r>
      </w:hyperlink>
      <w:r w:rsidRPr="49B376B0">
        <w:rPr>
          <w:rFonts w:ascii="Verdana" w:eastAsia="Times New Roman" w:hAnsi="Verdana"/>
          <w:sz w:val="20"/>
        </w:rPr>
        <w:t xml:space="preserve"> </w:t>
      </w:r>
      <w:r w:rsidRPr="00415A12">
        <w:rPr>
          <w:rFonts w:ascii="Verdana" w:eastAsia="Times New Roman" w:hAnsi="Verdana"/>
          <w:sz w:val="20"/>
        </w:rPr>
        <w:t xml:space="preserve">ENTRO </w:t>
      </w:r>
      <w:r w:rsidR="0025069D">
        <w:rPr>
          <w:rFonts w:ascii="Verdana" w:eastAsia="Times New Roman" w:hAnsi="Verdana"/>
          <w:b/>
          <w:bCs/>
          <w:sz w:val="20"/>
        </w:rPr>
        <w:t>VENERDI</w:t>
      </w:r>
      <w:r w:rsidRPr="00415A12">
        <w:rPr>
          <w:rFonts w:ascii="Verdana" w:eastAsia="Times New Roman" w:hAnsi="Verdana"/>
          <w:b/>
          <w:bCs/>
          <w:sz w:val="20"/>
        </w:rPr>
        <w:t xml:space="preserve">’ </w:t>
      </w:r>
      <w:r w:rsidR="0068250E" w:rsidRPr="00415A12">
        <w:rPr>
          <w:rFonts w:ascii="Verdana" w:eastAsia="Times New Roman" w:hAnsi="Verdana"/>
          <w:b/>
          <w:bCs/>
          <w:sz w:val="20"/>
        </w:rPr>
        <w:t>2</w:t>
      </w:r>
      <w:r w:rsidR="00AE11E1">
        <w:rPr>
          <w:rFonts w:ascii="Verdana" w:eastAsia="Times New Roman" w:hAnsi="Verdana"/>
          <w:b/>
          <w:bCs/>
          <w:sz w:val="20"/>
        </w:rPr>
        <w:t>6</w:t>
      </w:r>
      <w:r w:rsidR="0068250E" w:rsidRPr="00415A12">
        <w:rPr>
          <w:rFonts w:ascii="Verdana" w:eastAsia="Times New Roman" w:hAnsi="Verdana"/>
          <w:b/>
          <w:bCs/>
          <w:sz w:val="20"/>
        </w:rPr>
        <w:t xml:space="preserve"> </w:t>
      </w:r>
      <w:r w:rsidRPr="00415A12">
        <w:rPr>
          <w:rFonts w:ascii="Verdana" w:eastAsia="Times New Roman" w:hAnsi="Verdana"/>
          <w:b/>
          <w:bCs/>
          <w:sz w:val="20"/>
        </w:rPr>
        <w:t>GIUGNO</w:t>
      </w:r>
    </w:p>
    <w:p w14:paraId="3E9D199B" w14:textId="4EF3994F" w:rsidR="001D05D4" w:rsidRPr="00B755B0" w:rsidRDefault="001D05D4" w:rsidP="00415A12">
      <w:pPr>
        <w:pStyle w:val="Paragrafoelenco"/>
        <w:numPr>
          <w:ilvl w:val="0"/>
          <w:numId w:val="8"/>
        </w:numPr>
        <w:spacing w:after="210" w:line="210" w:lineRule="atLeast"/>
        <w:jc w:val="both"/>
        <w:rPr>
          <w:rFonts w:ascii="Verdana" w:eastAsia="Times New Roman" w:hAnsi="Verdana"/>
          <w:b/>
          <w:bCs/>
          <w:sz w:val="20"/>
        </w:rPr>
      </w:pPr>
      <w:r w:rsidRPr="49B376B0">
        <w:rPr>
          <w:rFonts w:ascii="Verdana" w:eastAsia="Times New Roman" w:hAnsi="Verdana"/>
          <w:sz w:val="20"/>
        </w:rPr>
        <w:t xml:space="preserve">Consegna della documentazione completa </w:t>
      </w:r>
      <w:r w:rsidRPr="00B755B0">
        <w:rPr>
          <w:rFonts w:ascii="Verdana" w:eastAsia="Times New Roman" w:hAnsi="Verdana"/>
          <w:sz w:val="20"/>
        </w:rPr>
        <w:t>ENTRO</w:t>
      </w:r>
      <w:r w:rsidRPr="00B755B0">
        <w:rPr>
          <w:rFonts w:ascii="Verdana" w:eastAsia="Times New Roman" w:hAnsi="Verdana"/>
          <w:b/>
          <w:bCs/>
          <w:sz w:val="20"/>
        </w:rPr>
        <w:t xml:space="preserve"> VENERDI’ 31 LUGLIO</w:t>
      </w:r>
    </w:p>
    <w:p w14:paraId="2BEC2AF3" w14:textId="1AA24319" w:rsidR="001D05D4" w:rsidRDefault="001D05D4" w:rsidP="00415A12">
      <w:pPr>
        <w:pStyle w:val="Paragrafoelenco"/>
        <w:numPr>
          <w:ilvl w:val="0"/>
          <w:numId w:val="8"/>
        </w:numPr>
        <w:spacing w:after="210" w:line="210" w:lineRule="atLeast"/>
        <w:jc w:val="both"/>
        <w:rPr>
          <w:rFonts w:ascii="Verdana" w:eastAsia="Times New Roman" w:hAnsi="Verdana"/>
          <w:sz w:val="20"/>
        </w:rPr>
      </w:pPr>
      <w:r w:rsidRPr="49B376B0">
        <w:rPr>
          <w:rFonts w:ascii="Verdana" w:eastAsia="Times New Roman" w:hAnsi="Verdana"/>
          <w:sz w:val="20"/>
        </w:rPr>
        <w:t xml:space="preserve">Comunicazione esiti e premiazioni: </w:t>
      </w:r>
      <w:r w:rsidRPr="00B755B0">
        <w:rPr>
          <w:rFonts w:ascii="Verdana" w:eastAsia="Times New Roman" w:hAnsi="Verdana"/>
          <w:b/>
          <w:bCs/>
          <w:sz w:val="20"/>
        </w:rPr>
        <w:t>EVENTO ENI CHE SI TERRA’ AD OTTOBRE 2026</w:t>
      </w:r>
      <w:r w:rsidR="00415A12" w:rsidRPr="00415A12">
        <w:rPr>
          <w:rFonts w:ascii="Verdana" w:eastAsia="Times New Roman" w:hAnsi="Verdana"/>
          <w:sz w:val="20"/>
        </w:rPr>
        <w:t>.</w:t>
      </w:r>
    </w:p>
    <w:p w14:paraId="0D3B8255" w14:textId="77777777" w:rsidR="004953B3" w:rsidRDefault="004953B3" w:rsidP="004953B3">
      <w:pPr>
        <w:pStyle w:val="Paragrafoelenco"/>
        <w:spacing w:after="210" w:line="210" w:lineRule="atLeast"/>
        <w:jc w:val="both"/>
        <w:rPr>
          <w:rFonts w:ascii="Verdana" w:eastAsia="Times New Roman" w:hAnsi="Verdana"/>
          <w:sz w:val="20"/>
        </w:rPr>
      </w:pPr>
    </w:p>
    <w:p w14:paraId="165A9CCB" w14:textId="77777777" w:rsidR="00415A12" w:rsidRDefault="00415A12" w:rsidP="00415A12">
      <w:pPr>
        <w:pStyle w:val="Paragrafoelenco"/>
        <w:spacing w:after="210" w:line="210" w:lineRule="atLeast"/>
        <w:jc w:val="both"/>
        <w:rPr>
          <w:rFonts w:ascii="Verdana" w:eastAsia="Times New Roman" w:hAnsi="Verdana"/>
          <w:sz w:val="20"/>
        </w:rPr>
      </w:pPr>
    </w:p>
    <w:p w14:paraId="5DE99777" w14:textId="77777777" w:rsidR="004953B3" w:rsidRPr="00415A12" w:rsidRDefault="004953B3" w:rsidP="00415A12">
      <w:pPr>
        <w:pStyle w:val="Paragrafoelenco"/>
        <w:spacing w:after="210" w:line="210" w:lineRule="atLeast"/>
        <w:jc w:val="both"/>
        <w:rPr>
          <w:rFonts w:ascii="Verdana" w:eastAsia="Times New Roman" w:hAnsi="Verdana"/>
          <w:sz w:val="20"/>
        </w:rPr>
      </w:pPr>
    </w:p>
    <w:p w14:paraId="67846193" w14:textId="77777777" w:rsidR="001D05D4" w:rsidRDefault="001D05D4" w:rsidP="004953B3">
      <w:pPr>
        <w:jc w:val="center"/>
        <w:rPr>
          <w:rFonts w:ascii="Verdana" w:hAnsi="Verdana"/>
          <w:b/>
          <w:bCs/>
          <w:color w:val="F79646"/>
          <w:sz w:val="36"/>
          <w:szCs w:val="36"/>
        </w:rPr>
      </w:pPr>
      <w:r w:rsidRPr="004953B3">
        <w:rPr>
          <w:rFonts w:ascii="Verdana" w:hAnsi="Verdana"/>
          <w:b/>
          <w:bCs/>
          <w:color w:val="F79646"/>
          <w:sz w:val="36"/>
          <w:szCs w:val="36"/>
        </w:rPr>
        <w:t>CRITERI DI VALUTAZIONE</w:t>
      </w:r>
    </w:p>
    <w:p w14:paraId="0B466FC0" w14:textId="77777777" w:rsidR="004953B3" w:rsidRPr="004953B3" w:rsidRDefault="004953B3" w:rsidP="004953B3">
      <w:pPr>
        <w:jc w:val="center"/>
        <w:rPr>
          <w:rFonts w:ascii="Verdana" w:hAnsi="Verdana"/>
          <w:b/>
          <w:bCs/>
          <w:color w:val="F79646"/>
          <w:sz w:val="36"/>
          <w:szCs w:val="36"/>
        </w:rPr>
      </w:pPr>
    </w:p>
    <w:p w14:paraId="5CA03AF0" w14:textId="77777777" w:rsidR="001D05D4" w:rsidRDefault="001D05D4" w:rsidP="001D05D4">
      <w:pPr>
        <w:spacing w:after="210" w:line="210" w:lineRule="atLeast"/>
        <w:jc w:val="both"/>
        <w:rPr>
          <w:rFonts w:ascii="Verdana" w:eastAsia="Times New Roman" w:hAnsi="Verdana"/>
          <w:iCs/>
          <w:sz w:val="20"/>
          <w:szCs w:val="17"/>
        </w:rPr>
      </w:pPr>
    </w:p>
    <w:p w14:paraId="0A01F0AB" w14:textId="77777777" w:rsidR="001D05D4"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Il punteggio totale attribuito al progetto sarà determinato come segue:</w:t>
      </w:r>
    </w:p>
    <w:p w14:paraId="077A7DAE" w14:textId="77777777" w:rsidR="001D05D4" w:rsidRPr="00254546" w:rsidRDefault="001D05D4" w:rsidP="001D05D4">
      <w:pPr>
        <w:pStyle w:val="Paragrafoelenco"/>
        <w:numPr>
          <w:ilvl w:val="0"/>
          <w:numId w:val="4"/>
        </w:numPr>
        <w:spacing w:after="210" w:line="210" w:lineRule="atLeast"/>
        <w:jc w:val="both"/>
        <w:rPr>
          <w:rFonts w:ascii="Verdana" w:eastAsia="Times New Roman" w:hAnsi="Verdana"/>
          <w:iCs/>
          <w:sz w:val="20"/>
          <w:szCs w:val="17"/>
        </w:rPr>
      </w:pPr>
      <w:r w:rsidRPr="00365A2A">
        <w:rPr>
          <w:rFonts w:ascii="Verdana" w:eastAsia="Times New Roman" w:hAnsi="Verdana"/>
          <w:iCs/>
          <w:sz w:val="20"/>
          <w:szCs w:val="17"/>
        </w:rPr>
        <w:t>80% – Valutazione del progetto presentato, articolata nei seguenti criteri</w:t>
      </w:r>
      <w:r w:rsidRPr="00254546">
        <w:rPr>
          <w:rFonts w:ascii="Verdana" w:eastAsia="Times New Roman" w:hAnsi="Verdana"/>
          <w:iCs/>
          <w:sz w:val="20"/>
          <w:szCs w:val="17"/>
        </w:rPr>
        <w:t xml:space="preserve">: </w:t>
      </w:r>
    </w:p>
    <w:p w14:paraId="0134407A" w14:textId="77777777" w:rsidR="001D05D4" w:rsidRDefault="001D05D4" w:rsidP="001D05D4">
      <w:pPr>
        <w:pStyle w:val="Paragrafoelenco"/>
        <w:numPr>
          <w:ilvl w:val="0"/>
          <w:numId w:val="3"/>
        </w:numPr>
        <w:spacing w:after="210" w:line="210" w:lineRule="atLeast"/>
        <w:jc w:val="both"/>
        <w:rPr>
          <w:rFonts w:ascii="Verdana" w:eastAsia="Times New Roman" w:hAnsi="Verdana"/>
          <w:sz w:val="20"/>
        </w:rPr>
      </w:pPr>
      <w:r w:rsidRPr="49B376B0">
        <w:rPr>
          <w:rFonts w:ascii="Verdana" w:eastAsia="Times New Roman" w:hAnsi="Verdana"/>
          <w:sz w:val="20"/>
        </w:rPr>
        <w:t>30% per la coerenza del contenuto rispetto agli obiettivi della categoria;</w:t>
      </w:r>
    </w:p>
    <w:p w14:paraId="4C9A27A4" w14:textId="77777777" w:rsidR="001D05D4" w:rsidRDefault="001D05D4" w:rsidP="001D05D4">
      <w:pPr>
        <w:pStyle w:val="Paragrafoelenco"/>
        <w:numPr>
          <w:ilvl w:val="0"/>
          <w:numId w:val="3"/>
        </w:numPr>
        <w:spacing w:after="210" w:line="210" w:lineRule="atLeast"/>
        <w:jc w:val="both"/>
        <w:rPr>
          <w:rFonts w:ascii="Verdana" w:eastAsia="Times New Roman" w:hAnsi="Verdana"/>
          <w:sz w:val="20"/>
        </w:rPr>
      </w:pPr>
      <w:r w:rsidRPr="49B376B0">
        <w:rPr>
          <w:rFonts w:ascii="Verdana" w:eastAsia="Times New Roman" w:hAnsi="Verdana"/>
          <w:sz w:val="20"/>
        </w:rPr>
        <w:t>30% per i risultati e benefici riscontrati nelle attività svolte per Eni;</w:t>
      </w:r>
    </w:p>
    <w:p w14:paraId="50EF9592" w14:textId="77777777" w:rsidR="001D05D4" w:rsidRPr="000D0560" w:rsidRDefault="001D05D4" w:rsidP="001D05D4">
      <w:pPr>
        <w:pStyle w:val="Paragrafoelenco"/>
        <w:numPr>
          <w:ilvl w:val="0"/>
          <w:numId w:val="3"/>
        </w:numPr>
        <w:spacing w:after="210" w:line="210" w:lineRule="atLeast"/>
        <w:jc w:val="both"/>
        <w:rPr>
          <w:rFonts w:ascii="Verdana" w:eastAsia="Times New Roman" w:hAnsi="Verdana"/>
          <w:sz w:val="20"/>
        </w:rPr>
      </w:pPr>
      <w:r w:rsidRPr="49B376B0">
        <w:rPr>
          <w:rFonts w:ascii="Verdana" w:eastAsia="Times New Roman" w:hAnsi="Verdana"/>
          <w:sz w:val="20"/>
        </w:rPr>
        <w:t>30% per la replicabilità dell’iniziative in altri contesti aziendali;</w:t>
      </w:r>
    </w:p>
    <w:p w14:paraId="1249E2ED" w14:textId="77777777" w:rsidR="001D05D4" w:rsidRPr="008F2987" w:rsidRDefault="001D05D4" w:rsidP="001D05D4">
      <w:pPr>
        <w:pStyle w:val="Paragrafoelenco"/>
        <w:numPr>
          <w:ilvl w:val="0"/>
          <w:numId w:val="3"/>
        </w:numPr>
        <w:spacing w:after="210" w:line="210" w:lineRule="atLeast"/>
        <w:jc w:val="both"/>
        <w:rPr>
          <w:rFonts w:ascii="Verdana" w:eastAsia="Times New Roman" w:hAnsi="Verdana"/>
          <w:iCs/>
          <w:sz w:val="20"/>
          <w:szCs w:val="17"/>
        </w:rPr>
      </w:pPr>
      <w:r w:rsidRPr="49B376B0">
        <w:rPr>
          <w:rFonts w:ascii="Verdana" w:eastAsia="Times New Roman" w:hAnsi="Verdana"/>
          <w:sz w:val="20"/>
        </w:rPr>
        <w:t>10% per la chiarezza espositiva.</w:t>
      </w:r>
    </w:p>
    <w:p w14:paraId="37934C41" w14:textId="77777777" w:rsidR="001D05D4" w:rsidRDefault="001D05D4" w:rsidP="001D05D4">
      <w:pPr>
        <w:pStyle w:val="Paragrafoelenco"/>
        <w:spacing w:after="210" w:line="210" w:lineRule="atLeast"/>
        <w:ind w:left="2160"/>
        <w:jc w:val="both"/>
        <w:rPr>
          <w:rFonts w:ascii="Verdana" w:eastAsia="Times New Roman" w:hAnsi="Verdana"/>
          <w:sz w:val="20"/>
        </w:rPr>
      </w:pPr>
    </w:p>
    <w:p w14:paraId="28E12F42" w14:textId="77777777" w:rsidR="001D05D4" w:rsidRDefault="001D05D4" w:rsidP="001D05D4">
      <w:pPr>
        <w:pStyle w:val="Paragrafoelenco"/>
        <w:numPr>
          <w:ilvl w:val="0"/>
          <w:numId w:val="6"/>
        </w:numPr>
        <w:spacing w:after="210" w:line="210" w:lineRule="atLeast"/>
        <w:jc w:val="both"/>
        <w:rPr>
          <w:rFonts w:ascii="Verdana" w:eastAsia="Times New Roman" w:hAnsi="Verdana"/>
          <w:sz w:val="20"/>
        </w:rPr>
      </w:pPr>
      <w:r w:rsidRPr="49B376B0">
        <w:rPr>
          <w:rFonts w:ascii="Verdana" w:eastAsia="Times New Roman" w:hAnsi="Verdana"/>
          <w:sz w:val="20"/>
        </w:rPr>
        <w:t xml:space="preserve">20% – Valutazione ottenuta su Open-es (Classe </w:t>
      </w:r>
      <w:r>
        <w:rPr>
          <w:rFonts w:ascii="Verdana" w:eastAsia="Times New Roman" w:hAnsi="Verdana"/>
          <w:sz w:val="20"/>
        </w:rPr>
        <w:t>“</w:t>
      </w:r>
      <w:r w:rsidRPr="49B376B0">
        <w:rPr>
          <w:rFonts w:ascii="Verdana" w:eastAsia="Times New Roman" w:hAnsi="Verdana"/>
          <w:sz w:val="20"/>
        </w:rPr>
        <w:t>Fondamentali</w:t>
      </w:r>
      <w:r>
        <w:rPr>
          <w:rFonts w:ascii="Verdana" w:eastAsia="Times New Roman" w:hAnsi="Verdana"/>
          <w:sz w:val="20"/>
        </w:rPr>
        <w:t>”</w:t>
      </w:r>
      <w:r w:rsidRPr="49B376B0">
        <w:rPr>
          <w:rFonts w:ascii="Verdana" w:eastAsia="Times New Roman" w:hAnsi="Verdana"/>
          <w:sz w:val="20"/>
        </w:rPr>
        <w:t>)</w:t>
      </w:r>
    </w:p>
    <w:p w14:paraId="61DEC20E" w14:textId="68EC561A" w:rsidR="001D05D4" w:rsidRPr="00DF38E9" w:rsidRDefault="001D05D4" w:rsidP="001D05D4">
      <w:pPr>
        <w:spacing w:after="210" w:line="210" w:lineRule="atLeast"/>
        <w:jc w:val="both"/>
        <w:rPr>
          <w:rFonts w:ascii="Verdana" w:eastAsia="Times New Roman" w:hAnsi="Verdana"/>
          <w:sz w:val="20"/>
        </w:rPr>
      </w:pPr>
      <w:r w:rsidRPr="49B376B0">
        <w:rPr>
          <w:rFonts w:ascii="Verdana" w:eastAsia="Times New Roman" w:hAnsi="Verdana"/>
          <w:sz w:val="20"/>
        </w:rPr>
        <w:t>Tutte le candidature saranno esaminate da un team interfunzionale composta da esperti dei business e delle aree tecniche Eni, che assegnerà i punteggi alle aziende che avranno dimostrato le migliori performance e presentato progetti innovativi, efficaci e coerenti con gli obiettivi del ENI SUPPLY CHAIN AWARDS.</w:t>
      </w:r>
    </w:p>
    <w:p w14:paraId="6AD73F6E" w14:textId="77777777" w:rsidR="00397792" w:rsidRPr="00A37937" w:rsidRDefault="00397792" w:rsidP="00A37937"/>
    <w:sectPr w:rsidR="00397792" w:rsidRPr="00A37937" w:rsidSect="001D05D4">
      <w:headerReference w:type="default" r:id="rId10"/>
      <w:headerReference w:type="first" r:id="rId11"/>
      <w:footerReference w:type="first" r:id="rId12"/>
      <w:pgSz w:w="11906" w:h="16838" w:code="9"/>
      <w:pgMar w:top="992" w:right="1418" w:bottom="851" w:left="1418" w:header="2835"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4CD9" w14:textId="77777777" w:rsidR="00FB6C0C" w:rsidRDefault="00FB6C0C" w:rsidP="00397792">
      <w:r>
        <w:separator/>
      </w:r>
    </w:p>
  </w:endnote>
  <w:endnote w:type="continuationSeparator" w:id="0">
    <w:p w14:paraId="5101325D" w14:textId="77777777" w:rsidR="00FB6C0C" w:rsidRDefault="00FB6C0C" w:rsidP="00397792">
      <w:r>
        <w:continuationSeparator/>
      </w:r>
    </w:p>
  </w:endnote>
  <w:endnote w:type="continuationNotice" w:id="1">
    <w:p w14:paraId="36344272" w14:textId="77777777" w:rsidR="00FB6C0C" w:rsidRDefault="00FB6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8B77" w14:textId="0B9B2D65" w:rsidR="00397792" w:rsidRDefault="003F3379">
    <w:pPr>
      <w:pStyle w:val="Pidipagina"/>
    </w:pPr>
    <w:r>
      <w:rPr>
        <w:noProof/>
      </w:rPr>
      <mc:AlternateContent>
        <mc:Choice Requires="wps">
          <w:drawing>
            <wp:anchor distT="540385" distB="0" distL="0" distR="0" simplePos="0" relativeHeight="251658244" behindDoc="1" locked="0" layoutInCell="1" allowOverlap="0" wp14:anchorId="48424615" wp14:editId="6260D66E">
              <wp:simplePos x="0" y="0"/>
              <wp:positionH relativeFrom="page">
                <wp:align>right</wp:align>
              </wp:positionH>
              <wp:positionV relativeFrom="paragraph">
                <wp:posOffset>28575</wp:posOffset>
              </wp:positionV>
              <wp:extent cx="2880000" cy="1955800"/>
              <wp:effectExtent l="0" t="0" r="0" b="0"/>
              <wp:wrapNone/>
              <wp:docPr id="781128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A8E69D" w14:textId="77777777" w:rsidR="003F0880" w:rsidRPr="00E45649" w:rsidRDefault="003F0880" w:rsidP="00B60B87">
                          <w:pPr>
                            <w:spacing w:line="200" w:lineRule="exact"/>
                            <w:rPr>
                              <w:rFonts w:ascii="Montserrat Medium" w:hAnsi="Montserrat Medium"/>
                              <w:b/>
                              <w:bCs/>
                              <w:color w:val="262626" w:themeColor="text1" w:themeTint="D9"/>
                              <w:sz w:val="14"/>
                              <w:szCs w:val="14"/>
                            </w:rPr>
                          </w:pPr>
                          <w:r w:rsidRPr="00E45649">
                            <w:rPr>
                              <w:rFonts w:ascii="Montserrat Medium" w:hAnsi="Montserrat Medium"/>
                              <w:b/>
                              <w:bCs/>
                              <w:color w:val="262626" w:themeColor="text1" w:themeTint="D9"/>
                              <w:sz w:val="14"/>
                              <w:szCs w:val="14"/>
                            </w:rPr>
                            <w:t>Eni SpA</w:t>
                          </w:r>
                        </w:p>
                        <w:p w14:paraId="31C7D056" w14:textId="1B03A840"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Capitale Sociale</w:t>
                          </w:r>
                          <w:r w:rsidR="00AB0ACD" w:rsidRPr="003E1B9A">
                            <w:rPr>
                              <w:rFonts w:ascii="Montserrat Medium" w:hAnsi="Montserrat Medium"/>
                              <w:color w:val="262626" w:themeColor="text1" w:themeTint="D9"/>
                              <w:sz w:val="14"/>
                              <w:szCs w:val="14"/>
                            </w:rPr>
                            <w:t xml:space="preserve"> </w:t>
                          </w:r>
                          <w:r w:rsidR="006A18B8" w:rsidRPr="003E1B9A">
                            <w:rPr>
                              <w:rFonts w:ascii="Montserrat Medium" w:hAnsi="Montserrat Medium"/>
                              <w:color w:val="262626" w:themeColor="text1" w:themeTint="D9"/>
                              <w:sz w:val="14"/>
                              <w:szCs w:val="14"/>
                            </w:rPr>
                            <w:t>Euro</w:t>
                          </w:r>
                          <w:r w:rsidR="00AB0ACD" w:rsidRPr="003E1B9A">
                            <w:rPr>
                              <w:rFonts w:ascii="Montserrat Medium" w:hAnsi="Montserrat Medium"/>
                              <w:color w:val="262626" w:themeColor="text1" w:themeTint="D9"/>
                              <w:sz w:val="14"/>
                              <w:szCs w:val="14"/>
                            </w:rPr>
                            <w:t xml:space="preserve"> 4.005.358.876,00 i.v.</w:t>
                          </w:r>
                        </w:p>
                        <w:p w14:paraId="516EA0B6" w14:textId="310BF1FA" w:rsidR="00FB4E07"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Registro Imprese</w:t>
                          </w:r>
                          <w:r w:rsidR="00DC725E" w:rsidRPr="003E1B9A">
                            <w:rPr>
                              <w:rFonts w:ascii="Montserrat Medium" w:hAnsi="Montserrat Medium"/>
                              <w:color w:val="262626" w:themeColor="text1" w:themeTint="D9"/>
                              <w:sz w:val="14"/>
                              <w:szCs w:val="14"/>
                            </w:rPr>
                            <w:t xml:space="preserve"> di Roma</w:t>
                          </w:r>
                          <w:r w:rsidRPr="003E1B9A">
                            <w:rPr>
                              <w:rFonts w:ascii="Montserrat Medium" w:hAnsi="Montserrat Medium"/>
                              <w:color w:val="262626" w:themeColor="text1" w:themeTint="D9"/>
                              <w:sz w:val="14"/>
                              <w:szCs w:val="14"/>
                            </w:rPr>
                            <w:t xml:space="preserve"> </w:t>
                          </w:r>
                        </w:p>
                        <w:p w14:paraId="59903062" w14:textId="5AAA46E5"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Codice Fiscale</w:t>
                          </w:r>
                          <w:r w:rsidR="00B72BA0" w:rsidRPr="003E1B9A">
                            <w:rPr>
                              <w:rFonts w:ascii="Montserrat Medium" w:hAnsi="Montserrat Medium"/>
                              <w:color w:val="262626" w:themeColor="text1" w:themeTint="D9"/>
                              <w:sz w:val="14"/>
                              <w:szCs w:val="14"/>
                            </w:rPr>
                            <w:t xml:space="preserve"> 00484960588</w:t>
                          </w:r>
                        </w:p>
                        <w:p w14:paraId="270D734F" w14:textId="77777777" w:rsidR="000E3814"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Partita IVA</w:t>
                          </w:r>
                          <w:r w:rsidR="000E1F90" w:rsidRPr="003E1B9A">
                            <w:rPr>
                              <w:rFonts w:ascii="Montserrat Medium" w:hAnsi="Montserrat Medium"/>
                              <w:color w:val="262626" w:themeColor="text1" w:themeTint="D9"/>
                              <w:sz w:val="14"/>
                              <w:szCs w:val="14"/>
                            </w:rPr>
                            <w:t xml:space="preserve"> 00905811006</w:t>
                          </w:r>
                        </w:p>
                        <w:p w14:paraId="0B9D01D6" w14:textId="4A0D573E"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R.E.A.</w:t>
                          </w:r>
                          <w:r w:rsidR="00107568" w:rsidRPr="003E1B9A">
                            <w:rPr>
                              <w:rFonts w:ascii="Montserrat Medium" w:hAnsi="Montserrat Medium"/>
                              <w:color w:val="262626" w:themeColor="text1" w:themeTint="D9"/>
                              <w:sz w:val="14"/>
                              <w:szCs w:val="14"/>
                            </w:rPr>
                            <w:t xml:space="preserve"> Roma n.</w:t>
                          </w:r>
                          <w:r w:rsidR="000E3814" w:rsidRPr="003E1B9A">
                            <w:rPr>
                              <w:rFonts w:ascii="Montserrat Medium" w:hAnsi="Montserrat Medium"/>
                              <w:color w:val="262626" w:themeColor="text1" w:themeTint="D9"/>
                              <w:sz w:val="14"/>
                              <w:szCs w:val="14"/>
                            </w:rPr>
                            <w:t xml:space="preserve"> </w:t>
                          </w:r>
                          <w:r w:rsidR="00107568" w:rsidRPr="003E1B9A">
                            <w:rPr>
                              <w:rFonts w:ascii="Montserrat Medium" w:hAnsi="Montserrat Medium"/>
                              <w:color w:val="262626" w:themeColor="text1" w:themeTint="D9"/>
                              <w:sz w:val="14"/>
                              <w:szCs w:val="14"/>
                            </w:rPr>
                            <w:t>756453</w:t>
                          </w:r>
                        </w:p>
                        <w:p w14:paraId="215C273E" w14:textId="77777777"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Sedi secondarie:</w:t>
                          </w:r>
                        </w:p>
                        <w:p w14:paraId="675A2759" w14:textId="77777777"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Via Emilia, 1 – Piazza Ezio Vanoni, 1</w:t>
                          </w:r>
                        </w:p>
                        <w:p w14:paraId="738D1801" w14:textId="08A47985" w:rsidR="00397792"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20097 San Donato Milanese (MI)</w:t>
                          </w:r>
                        </w:p>
                      </w:txbxContent>
                    </wps:txbx>
                    <wps:bodyPr rot="0" vert="horz" wrap="square" lIns="0" tIns="0" rIns="900000" bIns="540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24615" id="_x0000_t202" coordsize="21600,21600" o:spt="202" path="m,l,21600r21600,l21600,xe">
              <v:stroke joinstyle="miter"/>
              <v:path gradientshapeok="t" o:connecttype="rect"/>
            </v:shapetype>
            <v:shape id="Text Box 2" o:spid="_x0000_s1027" type="#_x0000_t202" style="position:absolute;margin-left:175.55pt;margin-top:2.25pt;width:226.75pt;height:154pt;z-index:-251658236;visibility:visible;mso-wrap-style:square;mso-width-percent:0;mso-height-percent:0;mso-wrap-distance-left:0;mso-wrap-distance-top:42.55pt;mso-wrap-distance-right:0;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" o:allowoverlap="f" filled="f" stroked="f" strokeweight=".5pt">
              <v:textbox inset="0,0,25mm,15mm">
                <w:txbxContent>
                  <w:p w14:paraId="21A8E69D" w14:textId="77777777" w:rsidR="003F0880" w:rsidRPr="00E45649" w:rsidRDefault="003F0880" w:rsidP="00B60B87">
                    <w:pPr>
                      <w:spacing w:line="200" w:lineRule="exact"/>
                      <w:rPr>
                        <w:rFonts w:ascii="Montserrat Medium" w:hAnsi="Montserrat Medium"/>
                        <w:b/>
                        <w:bCs/>
                        <w:color w:val="262626" w:themeColor="text1" w:themeTint="D9"/>
                        <w:sz w:val="14"/>
                        <w:szCs w:val="14"/>
                      </w:rPr>
                    </w:pPr>
                    <w:r w:rsidRPr="00E45649">
                      <w:rPr>
                        <w:rFonts w:ascii="Montserrat Medium" w:hAnsi="Montserrat Medium"/>
                        <w:b/>
                        <w:bCs/>
                        <w:color w:val="262626" w:themeColor="text1" w:themeTint="D9"/>
                        <w:sz w:val="14"/>
                        <w:szCs w:val="14"/>
                      </w:rPr>
                      <w:t>Eni SpA</w:t>
                    </w:r>
                  </w:p>
                  <w:p w14:paraId="31C7D056" w14:textId="1B03A840"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Capitale Sociale</w:t>
                    </w:r>
                    <w:r w:rsidR="00AB0ACD" w:rsidRPr="003E1B9A">
                      <w:rPr>
                        <w:rFonts w:ascii="Montserrat Medium" w:hAnsi="Montserrat Medium"/>
                        <w:color w:val="262626" w:themeColor="text1" w:themeTint="D9"/>
                        <w:sz w:val="14"/>
                        <w:szCs w:val="14"/>
                      </w:rPr>
                      <w:t xml:space="preserve"> </w:t>
                    </w:r>
                    <w:r w:rsidR="006A18B8" w:rsidRPr="003E1B9A">
                      <w:rPr>
                        <w:rFonts w:ascii="Montserrat Medium" w:hAnsi="Montserrat Medium"/>
                        <w:color w:val="262626" w:themeColor="text1" w:themeTint="D9"/>
                        <w:sz w:val="14"/>
                        <w:szCs w:val="14"/>
                      </w:rPr>
                      <w:t>Euro</w:t>
                    </w:r>
                    <w:r w:rsidR="00AB0ACD" w:rsidRPr="003E1B9A">
                      <w:rPr>
                        <w:rFonts w:ascii="Montserrat Medium" w:hAnsi="Montserrat Medium"/>
                        <w:color w:val="262626" w:themeColor="text1" w:themeTint="D9"/>
                        <w:sz w:val="14"/>
                        <w:szCs w:val="14"/>
                      </w:rPr>
                      <w:t xml:space="preserve"> 4.005.358.876,00 i.v.</w:t>
                    </w:r>
                  </w:p>
                  <w:p w14:paraId="516EA0B6" w14:textId="310BF1FA" w:rsidR="00FB4E07"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Registro Imprese</w:t>
                    </w:r>
                    <w:r w:rsidR="00DC725E" w:rsidRPr="003E1B9A">
                      <w:rPr>
                        <w:rFonts w:ascii="Montserrat Medium" w:hAnsi="Montserrat Medium"/>
                        <w:color w:val="262626" w:themeColor="text1" w:themeTint="D9"/>
                        <w:sz w:val="14"/>
                        <w:szCs w:val="14"/>
                      </w:rPr>
                      <w:t xml:space="preserve"> di Roma</w:t>
                    </w:r>
                    <w:r w:rsidRPr="003E1B9A">
                      <w:rPr>
                        <w:rFonts w:ascii="Montserrat Medium" w:hAnsi="Montserrat Medium"/>
                        <w:color w:val="262626" w:themeColor="text1" w:themeTint="D9"/>
                        <w:sz w:val="14"/>
                        <w:szCs w:val="14"/>
                      </w:rPr>
                      <w:t xml:space="preserve"> </w:t>
                    </w:r>
                  </w:p>
                  <w:p w14:paraId="59903062" w14:textId="5AAA46E5"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Codice Fiscale</w:t>
                    </w:r>
                    <w:r w:rsidR="00B72BA0" w:rsidRPr="003E1B9A">
                      <w:rPr>
                        <w:rFonts w:ascii="Montserrat Medium" w:hAnsi="Montserrat Medium"/>
                        <w:color w:val="262626" w:themeColor="text1" w:themeTint="D9"/>
                        <w:sz w:val="14"/>
                        <w:szCs w:val="14"/>
                      </w:rPr>
                      <w:t xml:space="preserve"> 00484960588</w:t>
                    </w:r>
                  </w:p>
                  <w:p w14:paraId="270D734F" w14:textId="77777777" w:rsidR="000E3814"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Partita IVA</w:t>
                    </w:r>
                    <w:r w:rsidR="000E1F90" w:rsidRPr="003E1B9A">
                      <w:rPr>
                        <w:rFonts w:ascii="Montserrat Medium" w:hAnsi="Montserrat Medium"/>
                        <w:color w:val="262626" w:themeColor="text1" w:themeTint="D9"/>
                        <w:sz w:val="14"/>
                        <w:szCs w:val="14"/>
                      </w:rPr>
                      <w:t xml:space="preserve"> 00905811006</w:t>
                    </w:r>
                  </w:p>
                  <w:p w14:paraId="0B9D01D6" w14:textId="4A0D573E"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R.E.A.</w:t>
                    </w:r>
                    <w:r w:rsidR="00107568" w:rsidRPr="003E1B9A">
                      <w:rPr>
                        <w:rFonts w:ascii="Montserrat Medium" w:hAnsi="Montserrat Medium"/>
                        <w:color w:val="262626" w:themeColor="text1" w:themeTint="D9"/>
                        <w:sz w:val="14"/>
                        <w:szCs w:val="14"/>
                      </w:rPr>
                      <w:t xml:space="preserve"> Roma n.</w:t>
                    </w:r>
                    <w:r w:rsidR="000E3814" w:rsidRPr="003E1B9A">
                      <w:rPr>
                        <w:rFonts w:ascii="Montserrat Medium" w:hAnsi="Montserrat Medium"/>
                        <w:color w:val="262626" w:themeColor="text1" w:themeTint="D9"/>
                        <w:sz w:val="14"/>
                        <w:szCs w:val="14"/>
                      </w:rPr>
                      <w:t xml:space="preserve"> </w:t>
                    </w:r>
                    <w:r w:rsidR="00107568" w:rsidRPr="003E1B9A">
                      <w:rPr>
                        <w:rFonts w:ascii="Montserrat Medium" w:hAnsi="Montserrat Medium"/>
                        <w:color w:val="262626" w:themeColor="text1" w:themeTint="D9"/>
                        <w:sz w:val="14"/>
                        <w:szCs w:val="14"/>
                      </w:rPr>
                      <w:t>756453</w:t>
                    </w:r>
                  </w:p>
                  <w:p w14:paraId="215C273E" w14:textId="77777777"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Sedi secondarie:</w:t>
                    </w:r>
                  </w:p>
                  <w:p w14:paraId="675A2759" w14:textId="77777777"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Via Emilia, 1 – Piazza Ezio Vanoni, 1</w:t>
                    </w:r>
                  </w:p>
                  <w:p w14:paraId="738D1801" w14:textId="08A47985" w:rsidR="00397792"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20097 San Donato Milanese (MI)</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17CF" w14:textId="77777777" w:rsidR="00FB6C0C" w:rsidRDefault="00FB6C0C" w:rsidP="00397792">
      <w:r>
        <w:separator/>
      </w:r>
    </w:p>
  </w:footnote>
  <w:footnote w:type="continuationSeparator" w:id="0">
    <w:p w14:paraId="56C9274C" w14:textId="77777777" w:rsidR="00FB6C0C" w:rsidRDefault="00FB6C0C" w:rsidP="00397792">
      <w:r>
        <w:continuationSeparator/>
      </w:r>
    </w:p>
  </w:footnote>
  <w:footnote w:type="continuationNotice" w:id="1">
    <w:p w14:paraId="4B898BE1" w14:textId="77777777" w:rsidR="00FB6C0C" w:rsidRDefault="00FB6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CE9E" w14:textId="0F60F159" w:rsidR="00397792" w:rsidRDefault="00397792">
    <w:pPr>
      <w:pStyle w:val="Intestazione"/>
    </w:pPr>
    <w:r>
      <w:rPr>
        <w:noProof/>
      </w:rPr>
      <w:drawing>
        <wp:anchor distT="0" distB="0" distL="114300" distR="114300" simplePos="0" relativeHeight="251658240" behindDoc="1" locked="0" layoutInCell="1" allowOverlap="1" wp14:anchorId="15178A86" wp14:editId="511202BD">
          <wp:simplePos x="0" y="0"/>
          <wp:positionH relativeFrom="margin">
            <wp:posOffset>-900430</wp:posOffset>
          </wp:positionH>
          <wp:positionV relativeFrom="paragraph">
            <wp:posOffset>-2160270</wp:posOffset>
          </wp:positionV>
          <wp:extent cx="2116455" cy="1561465"/>
          <wp:effectExtent l="0" t="0" r="0" b="0"/>
          <wp:wrapTight wrapText="bothSides">
            <wp:wrapPolygon edited="0">
              <wp:start x="9332" y="6852"/>
              <wp:lineTo x="8943" y="8696"/>
              <wp:lineTo x="8943" y="10804"/>
              <wp:lineTo x="9915" y="15811"/>
              <wp:lineTo x="9527" y="17392"/>
              <wp:lineTo x="10887" y="17392"/>
              <wp:lineTo x="17887" y="16075"/>
              <wp:lineTo x="17109" y="12649"/>
              <wp:lineTo x="16914" y="9750"/>
              <wp:lineTo x="14776" y="7906"/>
              <wp:lineTo x="11860" y="6852"/>
              <wp:lineTo x="9332" y="6852"/>
            </wp:wrapPolygon>
          </wp:wrapTight>
          <wp:docPr id="1714027982" name="Immagine 1714027982" descr="Immagine che contiene cartone animato, illustrazione, silhouette, not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50168" name="Immagine 371550168" descr="Immagine che contiene cartone animato, illustrazione, silhouette, notte&#10;&#10;Descrizione generata automaticamente"/>
                  <pic:cNvPicPr/>
                </pic:nvPicPr>
                <pic:blipFill rotWithShape="1">
                  <a:blip r:embed="rId1">
                    <a:extLst>
                      <a:ext uri="{28A0092B-C50C-407E-A947-70E740481C1C}">
                        <a14:useLocalDpi xmlns:a14="http://schemas.microsoft.com/office/drawing/2010/main" val="0"/>
                      </a:ext>
                    </a:extLst>
                  </a:blip>
                  <a:srcRect r="71984"/>
                  <a:stretch/>
                </pic:blipFill>
                <pic:spPr bwMode="auto">
                  <a:xfrm>
                    <a:off x="0" y="0"/>
                    <a:ext cx="2116455" cy="156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051A" w14:textId="72FB70EE" w:rsidR="00397792" w:rsidRDefault="00FD1D4B">
    <w:pPr>
      <w:pStyle w:val="Intestazione"/>
    </w:pPr>
    <w:r>
      <w:rPr>
        <w:noProof/>
      </w:rPr>
      <w:drawing>
        <wp:anchor distT="0" distB="0" distL="114300" distR="114300" simplePos="0" relativeHeight="251660292" behindDoc="1" locked="0" layoutInCell="1" allowOverlap="1" wp14:anchorId="5837A59C" wp14:editId="78F9366B">
          <wp:simplePos x="0" y="0"/>
          <wp:positionH relativeFrom="margin">
            <wp:posOffset>-889649</wp:posOffset>
          </wp:positionH>
          <wp:positionV relativeFrom="paragraph">
            <wp:posOffset>-2160270</wp:posOffset>
          </wp:positionV>
          <wp:extent cx="2546985" cy="1561465"/>
          <wp:effectExtent l="0" t="0" r="5715" b="0"/>
          <wp:wrapTight wrapText="bothSides">
            <wp:wrapPolygon edited="0">
              <wp:start x="15402" y="8257"/>
              <wp:lineTo x="11632" y="10014"/>
              <wp:lineTo x="8078" y="11244"/>
              <wp:lineTo x="7647" y="12122"/>
              <wp:lineTo x="7324" y="13352"/>
              <wp:lineTo x="7432" y="15284"/>
              <wp:lineTo x="12709" y="17041"/>
              <wp:lineTo x="15509" y="17568"/>
              <wp:lineTo x="16586" y="17568"/>
              <wp:lineTo x="21002" y="16865"/>
              <wp:lineTo x="21541" y="16338"/>
              <wp:lineTo x="21433" y="14230"/>
              <wp:lineTo x="20679" y="10190"/>
              <wp:lineTo x="19387" y="9135"/>
              <wp:lineTo x="17125" y="8257"/>
              <wp:lineTo x="15402" y="8257"/>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60706" name="Immagine 1554660706"/>
                  <pic:cNvPicPr/>
                </pic:nvPicPr>
                <pic:blipFill rotWithShape="1">
                  <a:blip r:embed="rId1">
                    <a:extLst>
                      <a:ext uri="{28A0092B-C50C-407E-A947-70E740481C1C}">
                        <a14:useLocalDpi xmlns:a14="http://schemas.microsoft.com/office/drawing/2010/main" val="0"/>
                      </a:ext>
                    </a:extLst>
                  </a:blip>
                  <a:srcRect l="-359" r="14228"/>
                  <a:stretch/>
                </pic:blipFill>
                <pic:spPr bwMode="auto">
                  <a:xfrm>
                    <a:off x="0" y="0"/>
                    <a:ext cx="2546985" cy="156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379">
      <w:rPr>
        <w:noProof/>
      </w:rPr>
      <mc:AlternateContent>
        <mc:Choice Requires="wps">
          <w:drawing>
            <wp:anchor distT="540385" distB="0" distL="0" distR="0" simplePos="0" relativeHeight="251658243" behindDoc="1" locked="0" layoutInCell="1" allowOverlap="0" wp14:anchorId="776BEE68" wp14:editId="60C96A9D">
              <wp:simplePos x="0" y="0"/>
              <wp:positionH relativeFrom="column">
                <wp:posOffset>3778885</wp:posOffset>
              </wp:positionH>
              <wp:positionV relativeFrom="paragraph">
                <wp:posOffset>-2160270</wp:posOffset>
              </wp:positionV>
              <wp:extent cx="2880000" cy="1454150"/>
              <wp:effectExtent l="0" t="0" r="0" b="0"/>
              <wp:wrapSquare wrapText="bothSides"/>
              <wp:docPr id="185194951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000" cy="1454150"/>
                      </a:xfrm>
                      <a:prstGeom prst="rect">
                        <a:avLst/>
                      </a:prstGeom>
                      <a:noFill/>
                      <a:ln w="6350">
                        <a:noFill/>
                      </a:ln>
                    </wps:spPr>
                    <wps:txbx>
                      <w:txbxContent>
                        <w:p w14:paraId="57BBDCBF"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Sede legale</w:t>
                          </w:r>
                        </w:p>
                        <w:p w14:paraId="5D107C01"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Piazzale Enrico Mattei, 1</w:t>
                          </w:r>
                        </w:p>
                        <w:p w14:paraId="5C720C6D"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00144 Roma</w:t>
                          </w:r>
                        </w:p>
                        <w:p w14:paraId="1E53982D"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Tel. +39 06 59821</w:t>
                          </w:r>
                        </w:p>
                        <w:p w14:paraId="58F4A72E" w14:textId="0801C361" w:rsidR="00397792" w:rsidRPr="00D6154E" w:rsidRDefault="00C22A2D" w:rsidP="00C22A2D">
                          <w:pPr>
                            <w:spacing w:line="200" w:lineRule="exact"/>
                            <w:rPr>
                              <w:color w:val="262626" w:themeColor="text1" w:themeTint="D9"/>
                              <w:sz w:val="14"/>
                              <w:szCs w:val="14"/>
                            </w:rPr>
                          </w:pPr>
                          <w:r w:rsidRPr="00D6154E">
                            <w:rPr>
                              <w:rFonts w:ascii="Montserrat Medium" w:hAnsi="Montserrat Medium"/>
                              <w:color w:val="262626" w:themeColor="text1" w:themeTint="D9"/>
                              <w:sz w:val="14"/>
                              <w:szCs w:val="14"/>
                            </w:rPr>
                            <w:t>eni.com</w:t>
                          </w:r>
                        </w:p>
                      </w:txbxContent>
                    </wps:txbx>
                    <wps:bodyPr rot="0" spcFirstLastPara="0" vertOverflow="overflow" horzOverflow="overflow" vert="horz" wrap="square" lIns="0" tIns="630000" rIns="90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BEE68" id="_x0000_t202" coordsize="21600,21600" o:spt="202" path="m,l,21600r21600,l21600,xe">
              <v:stroke joinstyle="miter"/>
              <v:path gradientshapeok="t" o:connecttype="rect"/>
            </v:shapetype>
            <v:shape id="Casella di testo 1" o:spid="_x0000_s1026" type="#_x0000_t202" style="position:absolute;margin-left:297.55pt;margin-top:-170.1pt;width:226.75pt;height:114.5pt;z-index:-251658237;visibility:visible;mso-wrap-style:square;mso-width-percent:0;mso-height-percent:0;mso-wrap-distance-left:0;mso-wrap-distance-top:42.5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" o:allowoverlap="f" filled="f" stroked="f" strokeweight=".5pt">
              <v:textbox inset="0,17.5mm,25mm">
                <w:txbxContent>
                  <w:p w14:paraId="57BBDCBF"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Sede legale</w:t>
                    </w:r>
                  </w:p>
                  <w:p w14:paraId="5D107C01"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Piazzale Enrico Mattei, 1</w:t>
                    </w:r>
                  </w:p>
                  <w:p w14:paraId="5C720C6D"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00144 Roma</w:t>
                    </w:r>
                  </w:p>
                  <w:p w14:paraId="1E53982D"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Tel. +39 06 59821</w:t>
                    </w:r>
                  </w:p>
                  <w:p w14:paraId="58F4A72E" w14:textId="0801C361" w:rsidR="00397792" w:rsidRPr="00D6154E" w:rsidRDefault="00C22A2D" w:rsidP="00C22A2D">
                    <w:pPr>
                      <w:spacing w:line="200" w:lineRule="exact"/>
                      <w:rPr>
                        <w:color w:val="262626" w:themeColor="text1" w:themeTint="D9"/>
                        <w:sz w:val="14"/>
                        <w:szCs w:val="14"/>
                      </w:rPr>
                    </w:pPr>
                    <w:r w:rsidRPr="00D6154E">
                      <w:rPr>
                        <w:rFonts w:ascii="Montserrat Medium" w:hAnsi="Montserrat Medium"/>
                        <w:color w:val="262626" w:themeColor="text1" w:themeTint="D9"/>
                        <w:sz w:val="14"/>
                        <w:szCs w:val="14"/>
                      </w:rPr>
                      <w:t>eni.com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C84"/>
    <w:multiLevelType w:val="hybridMultilevel"/>
    <w:tmpl w:val="3C8E8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90091D"/>
    <w:multiLevelType w:val="hybridMultilevel"/>
    <w:tmpl w:val="63C4C9C2"/>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168A53B2"/>
    <w:multiLevelType w:val="hybridMultilevel"/>
    <w:tmpl w:val="EC0C2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0C1C8F"/>
    <w:multiLevelType w:val="hybridMultilevel"/>
    <w:tmpl w:val="B1D26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462DA3"/>
    <w:multiLevelType w:val="hybridMultilevel"/>
    <w:tmpl w:val="0AA80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75395E"/>
    <w:multiLevelType w:val="hybridMultilevel"/>
    <w:tmpl w:val="2A72D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C45A056"/>
    <w:multiLevelType w:val="hybridMultilevel"/>
    <w:tmpl w:val="BB1A4370"/>
    <w:lvl w:ilvl="0" w:tplc="A03A3FF8">
      <w:start w:val="1"/>
      <w:numFmt w:val="decimal"/>
      <w:lvlText w:val="%1."/>
      <w:lvlJc w:val="left"/>
      <w:pPr>
        <w:ind w:left="720" w:hanging="360"/>
      </w:pPr>
    </w:lvl>
    <w:lvl w:ilvl="1" w:tplc="9D787B9A">
      <w:start w:val="1"/>
      <w:numFmt w:val="lowerLetter"/>
      <w:lvlText w:val="%2."/>
      <w:lvlJc w:val="left"/>
      <w:pPr>
        <w:ind w:left="1440" w:hanging="360"/>
      </w:pPr>
    </w:lvl>
    <w:lvl w:ilvl="2" w:tplc="516889E4">
      <w:start w:val="1"/>
      <w:numFmt w:val="lowerRoman"/>
      <w:lvlText w:val="%3."/>
      <w:lvlJc w:val="right"/>
      <w:pPr>
        <w:ind w:left="2160" w:hanging="180"/>
      </w:pPr>
    </w:lvl>
    <w:lvl w:ilvl="3" w:tplc="91FAAD4A">
      <w:start w:val="1"/>
      <w:numFmt w:val="decimal"/>
      <w:lvlText w:val="%4."/>
      <w:lvlJc w:val="left"/>
      <w:pPr>
        <w:ind w:left="2880" w:hanging="360"/>
      </w:pPr>
    </w:lvl>
    <w:lvl w:ilvl="4" w:tplc="A0823208">
      <w:start w:val="1"/>
      <w:numFmt w:val="lowerLetter"/>
      <w:lvlText w:val="%5."/>
      <w:lvlJc w:val="left"/>
      <w:pPr>
        <w:ind w:left="3600" w:hanging="360"/>
      </w:pPr>
    </w:lvl>
    <w:lvl w:ilvl="5" w:tplc="CEAE7790">
      <w:start w:val="1"/>
      <w:numFmt w:val="lowerRoman"/>
      <w:lvlText w:val="%6."/>
      <w:lvlJc w:val="right"/>
      <w:pPr>
        <w:ind w:left="4320" w:hanging="180"/>
      </w:pPr>
    </w:lvl>
    <w:lvl w:ilvl="6" w:tplc="6D023D88">
      <w:start w:val="1"/>
      <w:numFmt w:val="decimal"/>
      <w:lvlText w:val="%7."/>
      <w:lvlJc w:val="left"/>
      <w:pPr>
        <w:ind w:left="5040" w:hanging="360"/>
      </w:pPr>
    </w:lvl>
    <w:lvl w:ilvl="7" w:tplc="FC7A5C82">
      <w:start w:val="1"/>
      <w:numFmt w:val="lowerLetter"/>
      <w:lvlText w:val="%8."/>
      <w:lvlJc w:val="left"/>
      <w:pPr>
        <w:ind w:left="5760" w:hanging="360"/>
      </w:pPr>
    </w:lvl>
    <w:lvl w:ilvl="8" w:tplc="3C1C5208">
      <w:start w:val="1"/>
      <w:numFmt w:val="lowerRoman"/>
      <w:lvlText w:val="%9."/>
      <w:lvlJc w:val="right"/>
      <w:pPr>
        <w:ind w:left="6480" w:hanging="180"/>
      </w:pPr>
    </w:lvl>
  </w:abstractNum>
  <w:abstractNum w:abstractNumId="7" w15:restartNumberingAfterBreak="0">
    <w:nsid w:val="758408CF"/>
    <w:multiLevelType w:val="hybridMultilevel"/>
    <w:tmpl w:val="0D5CC0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900323">
    <w:abstractNumId w:val="6"/>
  </w:num>
  <w:num w:numId="2" w16cid:durableId="1507134244">
    <w:abstractNumId w:val="0"/>
  </w:num>
  <w:num w:numId="3" w16cid:durableId="1502306670">
    <w:abstractNumId w:val="1"/>
  </w:num>
  <w:num w:numId="4" w16cid:durableId="222300877">
    <w:abstractNumId w:val="2"/>
  </w:num>
  <w:num w:numId="5" w16cid:durableId="339965973">
    <w:abstractNumId w:val="3"/>
  </w:num>
  <w:num w:numId="6" w16cid:durableId="1307666857">
    <w:abstractNumId w:val="5"/>
  </w:num>
  <w:num w:numId="7" w16cid:durableId="697779454">
    <w:abstractNumId w:val="7"/>
  </w:num>
  <w:num w:numId="8" w16cid:durableId="187766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92"/>
    <w:rsid w:val="000701D3"/>
    <w:rsid w:val="000D0E93"/>
    <w:rsid w:val="000E1F90"/>
    <w:rsid w:val="000E3814"/>
    <w:rsid w:val="00107568"/>
    <w:rsid w:val="001106C6"/>
    <w:rsid w:val="00145D59"/>
    <w:rsid w:val="001577DE"/>
    <w:rsid w:val="001D05D4"/>
    <w:rsid w:val="00213BE8"/>
    <w:rsid w:val="00225050"/>
    <w:rsid w:val="002311CE"/>
    <w:rsid w:val="0025069D"/>
    <w:rsid w:val="002A0526"/>
    <w:rsid w:val="002E1063"/>
    <w:rsid w:val="00371729"/>
    <w:rsid w:val="00372A10"/>
    <w:rsid w:val="00397792"/>
    <w:rsid w:val="003A1B35"/>
    <w:rsid w:val="003B43C8"/>
    <w:rsid w:val="003C04C3"/>
    <w:rsid w:val="003E1B9A"/>
    <w:rsid w:val="003F0880"/>
    <w:rsid w:val="003F3379"/>
    <w:rsid w:val="003F4B70"/>
    <w:rsid w:val="003F7ECE"/>
    <w:rsid w:val="00415391"/>
    <w:rsid w:val="00415A12"/>
    <w:rsid w:val="00436A6C"/>
    <w:rsid w:val="004465D1"/>
    <w:rsid w:val="004953B3"/>
    <w:rsid w:val="004E37CA"/>
    <w:rsid w:val="00507341"/>
    <w:rsid w:val="00561F7E"/>
    <w:rsid w:val="00563B4E"/>
    <w:rsid w:val="005A0413"/>
    <w:rsid w:val="00615A17"/>
    <w:rsid w:val="00622F13"/>
    <w:rsid w:val="00645085"/>
    <w:rsid w:val="0068250E"/>
    <w:rsid w:val="006A18B8"/>
    <w:rsid w:val="006A261C"/>
    <w:rsid w:val="006B1A31"/>
    <w:rsid w:val="006F7872"/>
    <w:rsid w:val="0072768A"/>
    <w:rsid w:val="00733A06"/>
    <w:rsid w:val="0073739C"/>
    <w:rsid w:val="00745E94"/>
    <w:rsid w:val="00747E9E"/>
    <w:rsid w:val="00773C5A"/>
    <w:rsid w:val="007A55DD"/>
    <w:rsid w:val="007E08AD"/>
    <w:rsid w:val="00817471"/>
    <w:rsid w:val="00857DCC"/>
    <w:rsid w:val="00897E41"/>
    <w:rsid w:val="00914754"/>
    <w:rsid w:val="009D42C6"/>
    <w:rsid w:val="00A37937"/>
    <w:rsid w:val="00AB0ACD"/>
    <w:rsid w:val="00AE11E1"/>
    <w:rsid w:val="00AF4BD3"/>
    <w:rsid w:val="00B14D42"/>
    <w:rsid w:val="00B60B87"/>
    <w:rsid w:val="00B65D81"/>
    <w:rsid w:val="00B72BA0"/>
    <w:rsid w:val="00B755B0"/>
    <w:rsid w:val="00B763B5"/>
    <w:rsid w:val="00B9374A"/>
    <w:rsid w:val="00B955A0"/>
    <w:rsid w:val="00BC0A84"/>
    <w:rsid w:val="00BC63EC"/>
    <w:rsid w:val="00C14B9A"/>
    <w:rsid w:val="00C22A2D"/>
    <w:rsid w:val="00C9688B"/>
    <w:rsid w:val="00CC32E4"/>
    <w:rsid w:val="00CC4553"/>
    <w:rsid w:val="00D308FD"/>
    <w:rsid w:val="00D34EA4"/>
    <w:rsid w:val="00D37F4D"/>
    <w:rsid w:val="00D6154E"/>
    <w:rsid w:val="00DC725E"/>
    <w:rsid w:val="00DD4E2E"/>
    <w:rsid w:val="00E12B9F"/>
    <w:rsid w:val="00E31691"/>
    <w:rsid w:val="00E45649"/>
    <w:rsid w:val="00F72BF6"/>
    <w:rsid w:val="00F83CDD"/>
    <w:rsid w:val="00FB4E07"/>
    <w:rsid w:val="00FB6C0C"/>
    <w:rsid w:val="00FC3B18"/>
    <w:rsid w:val="00FD1D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02F0"/>
  <w15:chartTrackingRefBased/>
  <w15:docId w15:val="{C57DA0D9-003D-4F1B-AC79-B41271A1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1691"/>
    <w:pPr>
      <w:spacing w:after="0" w:line="240" w:lineRule="auto"/>
    </w:pPr>
    <w:rPr>
      <w:kern w:val="0"/>
      <w:sz w:val="24"/>
      <w:szCs w:val="24"/>
    </w:rPr>
  </w:style>
  <w:style w:type="paragraph" w:styleId="Titolo1">
    <w:name w:val="heading 1"/>
    <w:basedOn w:val="Normale"/>
    <w:next w:val="Normale"/>
    <w:link w:val="Titolo1Carattere"/>
    <w:uiPriority w:val="9"/>
    <w:qFormat/>
    <w:rsid w:val="00397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97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977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977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977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977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77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77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77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77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977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977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977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977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977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77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77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77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77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77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77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77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77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7792"/>
    <w:rPr>
      <w:i/>
      <w:iCs/>
      <w:color w:val="404040" w:themeColor="text1" w:themeTint="BF"/>
    </w:rPr>
  </w:style>
  <w:style w:type="paragraph" w:styleId="Paragrafoelenco">
    <w:name w:val="List Paragraph"/>
    <w:basedOn w:val="Normale"/>
    <w:uiPriority w:val="34"/>
    <w:qFormat/>
    <w:rsid w:val="00397792"/>
    <w:pPr>
      <w:ind w:left="720"/>
      <w:contextualSpacing/>
    </w:pPr>
  </w:style>
  <w:style w:type="character" w:styleId="Enfasiintensa">
    <w:name w:val="Intense Emphasis"/>
    <w:basedOn w:val="Carpredefinitoparagrafo"/>
    <w:uiPriority w:val="21"/>
    <w:qFormat/>
    <w:rsid w:val="00397792"/>
    <w:rPr>
      <w:i/>
      <w:iCs/>
      <w:color w:val="0F4761" w:themeColor="accent1" w:themeShade="BF"/>
    </w:rPr>
  </w:style>
  <w:style w:type="paragraph" w:styleId="Citazioneintensa">
    <w:name w:val="Intense Quote"/>
    <w:basedOn w:val="Normale"/>
    <w:next w:val="Normale"/>
    <w:link w:val="CitazioneintensaCarattere"/>
    <w:uiPriority w:val="30"/>
    <w:qFormat/>
    <w:rsid w:val="00397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7792"/>
    <w:rPr>
      <w:i/>
      <w:iCs/>
      <w:color w:val="0F4761" w:themeColor="accent1" w:themeShade="BF"/>
    </w:rPr>
  </w:style>
  <w:style w:type="character" w:styleId="Riferimentointenso">
    <w:name w:val="Intense Reference"/>
    <w:basedOn w:val="Carpredefinitoparagrafo"/>
    <w:uiPriority w:val="32"/>
    <w:qFormat/>
    <w:rsid w:val="00397792"/>
    <w:rPr>
      <w:b/>
      <w:bCs/>
      <w:smallCaps/>
      <w:color w:val="0F4761" w:themeColor="accent1" w:themeShade="BF"/>
      <w:spacing w:val="5"/>
    </w:rPr>
  </w:style>
  <w:style w:type="paragraph" w:styleId="Intestazione">
    <w:name w:val="header"/>
    <w:basedOn w:val="Normale"/>
    <w:link w:val="IntestazioneCarattere"/>
    <w:uiPriority w:val="99"/>
    <w:unhideWhenUsed/>
    <w:rsid w:val="00397792"/>
    <w:pPr>
      <w:tabs>
        <w:tab w:val="center" w:pos="4819"/>
        <w:tab w:val="right" w:pos="9638"/>
      </w:tabs>
    </w:pPr>
  </w:style>
  <w:style w:type="character" w:customStyle="1" w:styleId="IntestazioneCarattere">
    <w:name w:val="Intestazione Carattere"/>
    <w:basedOn w:val="Carpredefinitoparagrafo"/>
    <w:link w:val="Intestazione"/>
    <w:uiPriority w:val="99"/>
    <w:rsid w:val="00397792"/>
  </w:style>
  <w:style w:type="paragraph" w:styleId="Pidipagina">
    <w:name w:val="footer"/>
    <w:basedOn w:val="Normale"/>
    <w:link w:val="PidipaginaCarattere"/>
    <w:uiPriority w:val="99"/>
    <w:unhideWhenUsed/>
    <w:rsid w:val="00397792"/>
    <w:pPr>
      <w:tabs>
        <w:tab w:val="center" w:pos="4819"/>
        <w:tab w:val="right" w:pos="9638"/>
      </w:tabs>
    </w:pPr>
  </w:style>
  <w:style w:type="character" w:customStyle="1" w:styleId="PidipaginaCarattere">
    <w:name w:val="Piè di pagina Carattere"/>
    <w:basedOn w:val="Carpredefinitoparagrafo"/>
    <w:link w:val="Pidipagina"/>
    <w:uiPriority w:val="99"/>
    <w:rsid w:val="00397792"/>
  </w:style>
  <w:style w:type="character" w:styleId="Collegamentoipertestuale">
    <w:name w:val="Hyperlink"/>
    <w:basedOn w:val="Carpredefinitoparagrafo"/>
    <w:uiPriority w:val="99"/>
    <w:unhideWhenUsed/>
    <w:rsid w:val="001D05D4"/>
    <w:rPr>
      <w:color w:val="467886" w:themeColor="hyperlink"/>
      <w:u w:val="single"/>
    </w:rPr>
  </w:style>
  <w:style w:type="table" w:styleId="Grigliatabella">
    <w:name w:val="Table Grid"/>
    <w:basedOn w:val="Tabellanormale"/>
    <w:uiPriority w:val="59"/>
    <w:rsid w:val="001D05D4"/>
    <w:pPr>
      <w:spacing w:after="0" w:line="240" w:lineRule="auto"/>
    </w:pPr>
    <w:rPr>
      <w:rFonts w:ascii="Times New Roman" w:eastAsia="MS Mincho" w:hAnsi="Times New Roman" w:cs="Times New Roman"/>
      <w:kern w:val="0"/>
      <w:sz w:val="20"/>
      <w:szCs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C14B9A"/>
    <w:rPr>
      <w:color w:val="605E5C"/>
      <w:shd w:val="clear" w:color="auto" w:fill="E1DFDD"/>
    </w:rPr>
  </w:style>
  <w:style w:type="character" w:styleId="Collegamentovisitato">
    <w:name w:val="FollowedHyperlink"/>
    <w:basedOn w:val="Carpredefinitoparagrafo"/>
    <w:uiPriority w:val="99"/>
    <w:semiHidden/>
    <w:unhideWhenUsed/>
    <w:rsid w:val="00C14B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S1FuwT6JAUqaMLj-9RSmUGLokkAHdRtMmFVc2cfEemZUQTYyQTVMMDlRWVBNVUo3QlFCRUhGMFFVMC4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es.io/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Pages/ResponsePage.aspx?id=S1FuwT6JAUqaMLj-9RSmUGLokkAHdRtMmFVc2cfEemZUQTYyQTVMMDlRWVBNVUo3QlFCRUhGMFFVMC4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1290</Words>
  <Characters>7359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Monteferri</dc:creator>
  <cp:keywords/>
  <dc:description/>
  <cp:lastModifiedBy>Del Sole Daniela</cp:lastModifiedBy>
  <cp:revision>16</cp:revision>
  <cp:lastPrinted>2024-11-12T13:20:00Z</cp:lastPrinted>
  <dcterms:created xsi:type="dcterms:W3CDTF">2026-06-04T14:04:00Z</dcterms:created>
  <dcterms:modified xsi:type="dcterms:W3CDTF">2026-06-10T15:25:00Z</dcterms:modified>
</cp:coreProperties>
</file>